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3D4" w14:textId="3B1514ED" w:rsidR="003E7DD6" w:rsidRDefault="00542AE2" w:rsidP="005671C0">
      <w:pPr>
        <w:tabs>
          <w:tab w:val="left" w:pos="1843"/>
        </w:tabs>
        <w:jc w:val="both"/>
        <w:rPr>
          <w:rFonts w:asciiTheme="majorHAnsi" w:hAnsiTheme="majorHAnsi" w:cstheme="majorHAnsi"/>
          <w:b/>
          <w:bCs/>
          <w:sz w:val="28"/>
          <w:szCs w:val="28"/>
        </w:rPr>
      </w:pPr>
      <w:r>
        <w:rPr>
          <w:rFonts w:asciiTheme="majorHAnsi" w:hAnsiTheme="majorHAnsi" w:cstheme="majorHAnsi"/>
          <w:b/>
          <w:bCs/>
          <w:sz w:val="28"/>
          <w:szCs w:val="28"/>
        </w:rPr>
        <w:t xml:space="preserve">A legal misstep of little consequence? </w:t>
      </w:r>
      <w:r w:rsidRPr="00542AE2">
        <w:rPr>
          <w:rFonts w:asciiTheme="majorHAnsi" w:hAnsiTheme="majorHAnsi" w:cstheme="majorHAnsi"/>
          <w:b/>
          <w:bCs/>
          <w:i/>
          <w:iCs/>
          <w:sz w:val="28"/>
          <w:szCs w:val="28"/>
        </w:rPr>
        <w:t>H</w:t>
      </w:r>
      <w:r w:rsidR="002F494F" w:rsidRPr="00542AE2">
        <w:rPr>
          <w:rFonts w:asciiTheme="majorHAnsi" w:hAnsiTheme="majorHAnsi" w:cstheme="majorHAnsi"/>
          <w:b/>
          <w:bCs/>
          <w:i/>
          <w:iCs/>
          <w:sz w:val="28"/>
          <w:szCs w:val="28"/>
        </w:rPr>
        <w:t xml:space="preserve"> v RH (No 2) (Variation of Interim Arrangements) </w:t>
      </w:r>
      <w:r w:rsidR="002F494F" w:rsidRPr="002F494F">
        <w:rPr>
          <w:rFonts w:asciiTheme="majorHAnsi" w:hAnsiTheme="majorHAnsi" w:cstheme="majorHAnsi"/>
          <w:b/>
          <w:bCs/>
          <w:sz w:val="28"/>
          <w:szCs w:val="28"/>
        </w:rPr>
        <w:t>[2023] EWFC 210</w:t>
      </w:r>
    </w:p>
    <w:p w14:paraId="14DB69E3" w14:textId="77777777" w:rsidR="002F494F" w:rsidRPr="000C159B" w:rsidRDefault="002F494F" w:rsidP="005671C0">
      <w:pPr>
        <w:tabs>
          <w:tab w:val="left" w:pos="1843"/>
        </w:tabs>
        <w:jc w:val="both"/>
        <w:rPr>
          <w:rFonts w:asciiTheme="majorHAnsi" w:hAnsiTheme="majorHAnsi" w:cstheme="majorHAnsi"/>
        </w:rPr>
      </w:pPr>
    </w:p>
    <w:p w14:paraId="1740F8D6" w14:textId="0BA68AF3" w:rsidR="003E7DD6" w:rsidRDefault="002F494F" w:rsidP="005671C0">
      <w:pPr>
        <w:tabs>
          <w:tab w:val="left" w:pos="1843"/>
        </w:tabs>
        <w:jc w:val="both"/>
        <w:rPr>
          <w:rFonts w:asciiTheme="majorHAnsi" w:hAnsiTheme="majorHAnsi" w:cstheme="majorHAnsi"/>
        </w:rPr>
      </w:pPr>
      <w:r>
        <w:rPr>
          <w:rFonts w:asciiTheme="majorHAnsi" w:hAnsiTheme="majorHAnsi" w:cstheme="majorHAnsi"/>
        </w:rPr>
        <w:t xml:space="preserve">Macdonald </w:t>
      </w:r>
      <w:r w:rsidR="003E7DD6" w:rsidRPr="000C159B">
        <w:rPr>
          <w:rFonts w:asciiTheme="majorHAnsi" w:hAnsiTheme="majorHAnsi" w:cstheme="majorHAnsi"/>
        </w:rPr>
        <w:t>J heard an application to vary interim arrangements in</w:t>
      </w:r>
      <w:r w:rsidR="00A40287">
        <w:rPr>
          <w:rFonts w:asciiTheme="majorHAnsi" w:hAnsiTheme="majorHAnsi" w:cstheme="majorHAnsi"/>
        </w:rPr>
        <w:t xml:space="preserve"> ‘long running financial remedy </w:t>
      </w:r>
      <w:proofErr w:type="gramStart"/>
      <w:r w:rsidR="00A40287">
        <w:rPr>
          <w:rFonts w:asciiTheme="majorHAnsi" w:hAnsiTheme="majorHAnsi" w:cstheme="majorHAnsi"/>
        </w:rPr>
        <w:t>proceedings’</w:t>
      </w:r>
      <w:proofErr w:type="gramEnd"/>
      <w:r w:rsidR="00542AE2">
        <w:rPr>
          <w:rFonts w:asciiTheme="majorHAnsi" w:hAnsiTheme="majorHAnsi" w:cstheme="majorHAnsi"/>
        </w:rPr>
        <w:t xml:space="preserve">. </w:t>
      </w:r>
      <w:r w:rsidR="00B71401">
        <w:rPr>
          <w:rFonts w:asciiTheme="majorHAnsi" w:hAnsiTheme="majorHAnsi" w:cstheme="majorHAnsi"/>
        </w:rPr>
        <w:t xml:space="preserve"> </w:t>
      </w:r>
    </w:p>
    <w:p w14:paraId="5C9C68D4" w14:textId="77777777" w:rsidR="005A4652" w:rsidRDefault="005A4652" w:rsidP="005671C0">
      <w:pPr>
        <w:tabs>
          <w:tab w:val="left" w:pos="1843"/>
        </w:tabs>
        <w:jc w:val="both"/>
        <w:rPr>
          <w:rFonts w:asciiTheme="majorHAnsi" w:hAnsiTheme="majorHAnsi" w:cstheme="majorHAnsi"/>
        </w:rPr>
      </w:pPr>
    </w:p>
    <w:p w14:paraId="625B467F" w14:textId="7D636AA7" w:rsidR="005A4652" w:rsidRPr="005A4652" w:rsidRDefault="005A4652" w:rsidP="005671C0">
      <w:pPr>
        <w:tabs>
          <w:tab w:val="left" w:pos="1843"/>
        </w:tabs>
        <w:jc w:val="both"/>
        <w:rPr>
          <w:rFonts w:asciiTheme="majorHAnsi" w:hAnsiTheme="majorHAnsi" w:cstheme="majorHAnsi"/>
          <w:b/>
          <w:bCs/>
        </w:rPr>
      </w:pPr>
      <w:r>
        <w:rPr>
          <w:rFonts w:asciiTheme="majorHAnsi" w:hAnsiTheme="majorHAnsi" w:cstheme="majorHAnsi"/>
          <w:b/>
          <w:bCs/>
        </w:rPr>
        <w:t>Background</w:t>
      </w:r>
    </w:p>
    <w:p w14:paraId="4BEEC1B5" w14:textId="77777777" w:rsidR="00A40287" w:rsidRDefault="00A40287" w:rsidP="005671C0">
      <w:pPr>
        <w:tabs>
          <w:tab w:val="left" w:pos="1843"/>
        </w:tabs>
        <w:jc w:val="both"/>
        <w:rPr>
          <w:rFonts w:asciiTheme="majorHAnsi" w:hAnsiTheme="majorHAnsi" w:cstheme="majorHAnsi"/>
        </w:rPr>
      </w:pPr>
    </w:p>
    <w:p w14:paraId="039123CD" w14:textId="70737D02" w:rsidR="00B82C18" w:rsidRPr="00B82C18" w:rsidRDefault="00A40287" w:rsidP="00B82C18">
      <w:pPr>
        <w:tabs>
          <w:tab w:val="left" w:pos="1843"/>
        </w:tabs>
        <w:jc w:val="both"/>
        <w:rPr>
          <w:rFonts w:asciiTheme="majorHAnsi" w:hAnsiTheme="majorHAnsi" w:cstheme="majorHAnsi"/>
        </w:rPr>
      </w:pPr>
      <w:r>
        <w:rPr>
          <w:rFonts w:asciiTheme="majorHAnsi" w:hAnsiTheme="majorHAnsi" w:cstheme="majorHAnsi"/>
        </w:rPr>
        <w:t xml:space="preserve">The litigation history in the case was long and fractious, a final hearing having been listed </w:t>
      </w:r>
      <w:r w:rsidR="00B82C18">
        <w:rPr>
          <w:rFonts w:asciiTheme="majorHAnsi" w:hAnsiTheme="majorHAnsi" w:cstheme="majorHAnsi"/>
        </w:rPr>
        <w:t xml:space="preserve">and re-listed </w:t>
      </w:r>
      <w:r>
        <w:rPr>
          <w:rFonts w:asciiTheme="majorHAnsi" w:hAnsiTheme="majorHAnsi" w:cstheme="majorHAnsi"/>
        </w:rPr>
        <w:t>thri</w:t>
      </w:r>
      <w:r w:rsidR="00B82C18">
        <w:rPr>
          <w:rFonts w:asciiTheme="majorHAnsi" w:hAnsiTheme="majorHAnsi" w:cstheme="majorHAnsi"/>
        </w:rPr>
        <w:t>ce.</w:t>
      </w:r>
    </w:p>
    <w:p w14:paraId="143C2D61" w14:textId="77777777" w:rsidR="004E6BFD" w:rsidRDefault="004E6BFD" w:rsidP="005671C0">
      <w:pPr>
        <w:tabs>
          <w:tab w:val="left" w:pos="1843"/>
        </w:tabs>
        <w:jc w:val="both"/>
        <w:rPr>
          <w:rFonts w:asciiTheme="majorHAnsi" w:hAnsiTheme="majorHAnsi" w:cstheme="majorHAnsi"/>
        </w:rPr>
      </w:pPr>
    </w:p>
    <w:p w14:paraId="692F2443" w14:textId="6489E1A9" w:rsidR="004E6BFD" w:rsidRDefault="004E6BFD" w:rsidP="005671C0">
      <w:pPr>
        <w:tabs>
          <w:tab w:val="left" w:pos="1843"/>
        </w:tabs>
        <w:jc w:val="both"/>
        <w:rPr>
          <w:rFonts w:asciiTheme="majorHAnsi" w:hAnsiTheme="majorHAnsi" w:cstheme="majorHAnsi"/>
        </w:rPr>
      </w:pPr>
      <w:r>
        <w:rPr>
          <w:rFonts w:asciiTheme="majorHAnsi" w:hAnsiTheme="majorHAnsi" w:cstheme="majorHAnsi"/>
        </w:rPr>
        <w:t xml:space="preserve">The W is 54 and the H is 57. There are two children of the family, girls aged 18 and 16 respectively. This was a marriage of c.28 years. Both parties worked in financial services, the W working for Citibank and then Lehman Brothers; the H worked for Goldman Sachs followed by Deutsche Bank and then Barclays Capital, among other employers. </w:t>
      </w:r>
      <w:r w:rsidR="00B32115">
        <w:rPr>
          <w:rFonts w:asciiTheme="majorHAnsi" w:hAnsiTheme="majorHAnsi" w:cstheme="majorHAnsi"/>
        </w:rPr>
        <w:t>Both parties were</w:t>
      </w:r>
      <w:r>
        <w:rPr>
          <w:rFonts w:asciiTheme="majorHAnsi" w:hAnsiTheme="majorHAnsi" w:cstheme="majorHAnsi"/>
        </w:rPr>
        <w:t xml:space="preserve"> unemployed at the time of </w:t>
      </w:r>
      <w:r w:rsidR="00D771DB">
        <w:rPr>
          <w:rFonts w:asciiTheme="majorHAnsi" w:hAnsiTheme="majorHAnsi" w:cstheme="majorHAnsi"/>
        </w:rPr>
        <w:t xml:space="preserve">that hearing but </w:t>
      </w:r>
      <w:r w:rsidR="00B32115">
        <w:rPr>
          <w:rFonts w:asciiTheme="majorHAnsi" w:hAnsiTheme="majorHAnsi" w:cstheme="majorHAnsi"/>
        </w:rPr>
        <w:t xml:space="preserve">the H </w:t>
      </w:r>
      <w:r w:rsidR="00D771DB">
        <w:rPr>
          <w:rFonts w:asciiTheme="majorHAnsi" w:hAnsiTheme="majorHAnsi" w:cstheme="majorHAnsi"/>
        </w:rPr>
        <w:t>was investing</w:t>
      </w:r>
      <w:r>
        <w:rPr>
          <w:rFonts w:asciiTheme="majorHAnsi" w:hAnsiTheme="majorHAnsi" w:cstheme="majorHAnsi"/>
        </w:rPr>
        <w:t xml:space="preserve"> in cryptocurrency. </w:t>
      </w:r>
    </w:p>
    <w:p w14:paraId="1CEFB38B" w14:textId="77777777" w:rsidR="004E6BFD" w:rsidRDefault="004E6BFD" w:rsidP="005671C0">
      <w:pPr>
        <w:tabs>
          <w:tab w:val="left" w:pos="1843"/>
        </w:tabs>
        <w:jc w:val="both"/>
        <w:rPr>
          <w:rFonts w:asciiTheme="majorHAnsi" w:hAnsiTheme="majorHAnsi" w:cstheme="majorHAnsi"/>
        </w:rPr>
      </w:pPr>
    </w:p>
    <w:p w14:paraId="06CEE585" w14:textId="3EECEC29" w:rsidR="004E6BFD" w:rsidRDefault="004E6BFD" w:rsidP="005671C0">
      <w:pPr>
        <w:tabs>
          <w:tab w:val="left" w:pos="1843"/>
        </w:tabs>
        <w:jc w:val="both"/>
        <w:rPr>
          <w:rFonts w:asciiTheme="majorHAnsi" w:hAnsiTheme="majorHAnsi" w:cstheme="majorHAnsi"/>
        </w:rPr>
      </w:pPr>
      <w:r>
        <w:rPr>
          <w:rFonts w:asciiTheme="majorHAnsi" w:hAnsiTheme="majorHAnsi" w:cstheme="majorHAnsi"/>
        </w:rPr>
        <w:t>The W petitioned for divorce in January 2020 and decree nisi was pronounced on the 26 November 2020; financial remedy proceedings were initiated in December 2020. The main asset</w:t>
      </w:r>
      <w:r w:rsidR="00A015EF">
        <w:rPr>
          <w:rFonts w:asciiTheme="majorHAnsi" w:hAnsiTheme="majorHAnsi" w:cstheme="majorHAnsi"/>
        </w:rPr>
        <w:t>s</w:t>
      </w:r>
      <w:r>
        <w:rPr>
          <w:rFonts w:asciiTheme="majorHAnsi" w:hAnsiTheme="majorHAnsi" w:cstheme="majorHAnsi"/>
        </w:rPr>
        <w:t xml:space="preserve"> disclosed at the FDA included a business interest </w:t>
      </w:r>
      <w:r w:rsidR="00A015EF">
        <w:rPr>
          <w:rFonts w:asciiTheme="majorHAnsi" w:hAnsiTheme="majorHAnsi" w:cstheme="majorHAnsi"/>
        </w:rPr>
        <w:t xml:space="preserve">valued in the H’s Form </w:t>
      </w:r>
      <w:proofErr w:type="spellStart"/>
      <w:r w:rsidR="00A015EF">
        <w:rPr>
          <w:rFonts w:asciiTheme="majorHAnsi" w:hAnsiTheme="majorHAnsi" w:cstheme="majorHAnsi"/>
        </w:rPr>
        <w:t>E at</w:t>
      </w:r>
      <w:proofErr w:type="spellEnd"/>
      <w:r w:rsidR="00A015EF">
        <w:rPr>
          <w:rFonts w:asciiTheme="majorHAnsi" w:hAnsiTheme="majorHAnsi" w:cstheme="majorHAnsi"/>
        </w:rPr>
        <w:t xml:space="preserve"> $75,000;</w:t>
      </w:r>
      <w:r>
        <w:rPr>
          <w:rFonts w:asciiTheme="majorHAnsi" w:hAnsiTheme="majorHAnsi" w:cstheme="majorHAnsi"/>
        </w:rPr>
        <w:t xml:space="preserve"> at the </w:t>
      </w:r>
      <w:proofErr w:type="spellStart"/>
      <w:r w:rsidR="00A015EF">
        <w:rPr>
          <w:rFonts w:asciiTheme="majorHAnsi" w:hAnsiTheme="majorHAnsi" w:cstheme="majorHAnsi"/>
        </w:rPr>
        <w:t>p</w:t>
      </w:r>
      <w:r>
        <w:rPr>
          <w:rFonts w:asciiTheme="majorHAnsi" w:hAnsiTheme="majorHAnsi" w:cstheme="majorHAnsi"/>
        </w:rPr>
        <w:t>FDR</w:t>
      </w:r>
      <w:proofErr w:type="spellEnd"/>
      <w:r>
        <w:rPr>
          <w:rFonts w:asciiTheme="majorHAnsi" w:hAnsiTheme="majorHAnsi" w:cstheme="majorHAnsi"/>
        </w:rPr>
        <w:t xml:space="preserve"> </w:t>
      </w:r>
      <w:r w:rsidR="00A015EF">
        <w:rPr>
          <w:rFonts w:asciiTheme="majorHAnsi" w:hAnsiTheme="majorHAnsi" w:cstheme="majorHAnsi"/>
        </w:rPr>
        <w:t>it e</w:t>
      </w:r>
      <w:r>
        <w:rPr>
          <w:rFonts w:asciiTheme="majorHAnsi" w:hAnsiTheme="majorHAnsi" w:cstheme="majorHAnsi"/>
        </w:rPr>
        <w:t xml:space="preserve">merged </w:t>
      </w:r>
      <w:r w:rsidR="00A015EF">
        <w:rPr>
          <w:rFonts w:asciiTheme="majorHAnsi" w:hAnsiTheme="majorHAnsi" w:cstheme="majorHAnsi"/>
        </w:rPr>
        <w:t>that this business interest is</w:t>
      </w:r>
      <w:r>
        <w:rPr>
          <w:rFonts w:asciiTheme="majorHAnsi" w:hAnsiTheme="majorHAnsi" w:cstheme="majorHAnsi"/>
        </w:rPr>
        <w:t xml:space="preserve"> a vehicle for holding shares in the major cryptocurrency exchange Coinbase</w:t>
      </w:r>
      <w:r w:rsidR="00A015EF">
        <w:rPr>
          <w:rFonts w:asciiTheme="majorHAnsi" w:hAnsiTheme="majorHAnsi" w:cstheme="majorHAnsi"/>
        </w:rPr>
        <w:t>, shares that were at that time worth $7m</w:t>
      </w:r>
      <w:r>
        <w:rPr>
          <w:rFonts w:asciiTheme="majorHAnsi" w:hAnsiTheme="majorHAnsi" w:cstheme="majorHAnsi"/>
        </w:rPr>
        <w:t xml:space="preserve">. </w:t>
      </w:r>
    </w:p>
    <w:p w14:paraId="66B7AF0E" w14:textId="77777777" w:rsidR="00D771DB" w:rsidRDefault="00D771DB" w:rsidP="005671C0">
      <w:pPr>
        <w:tabs>
          <w:tab w:val="left" w:pos="1843"/>
        </w:tabs>
        <w:jc w:val="both"/>
        <w:rPr>
          <w:rFonts w:asciiTheme="majorHAnsi" w:hAnsiTheme="majorHAnsi" w:cstheme="majorHAnsi"/>
        </w:rPr>
      </w:pPr>
    </w:p>
    <w:p w14:paraId="7BB91DF9" w14:textId="38136859" w:rsidR="00D771DB" w:rsidRDefault="00D771DB" w:rsidP="005671C0">
      <w:pPr>
        <w:tabs>
          <w:tab w:val="left" w:pos="1843"/>
        </w:tabs>
        <w:jc w:val="both"/>
        <w:rPr>
          <w:rFonts w:asciiTheme="majorHAnsi" w:hAnsiTheme="majorHAnsi" w:cstheme="majorHAnsi"/>
        </w:rPr>
      </w:pPr>
      <w:r>
        <w:rPr>
          <w:rFonts w:asciiTheme="majorHAnsi" w:hAnsiTheme="majorHAnsi" w:cstheme="majorHAnsi"/>
        </w:rPr>
        <w:t>The assets in the case total</w:t>
      </w:r>
      <w:r w:rsidR="00831E3E">
        <w:rPr>
          <w:rFonts w:asciiTheme="majorHAnsi" w:hAnsiTheme="majorHAnsi" w:cstheme="majorHAnsi"/>
        </w:rPr>
        <w:t xml:space="preserve"> – </w:t>
      </w:r>
      <w:r>
        <w:rPr>
          <w:rFonts w:asciiTheme="majorHAnsi" w:hAnsiTheme="majorHAnsi" w:cstheme="majorHAnsi"/>
        </w:rPr>
        <w:t xml:space="preserve">per the Asset Schedule prepared by the H </w:t>
      </w:r>
      <w:r w:rsidR="00831E3E">
        <w:rPr>
          <w:rFonts w:asciiTheme="majorHAnsi" w:hAnsiTheme="majorHAnsi" w:cstheme="majorHAnsi"/>
        </w:rPr>
        <w:t xml:space="preserve">prior to the </w:t>
      </w:r>
      <w:r w:rsidR="00B82C18">
        <w:rPr>
          <w:rFonts w:asciiTheme="majorHAnsi" w:hAnsiTheme="majorHAnsi" w:cstheme="majorHAnsi"/>
        </w:rPr>
        <w:t>June</w:t>
      </w:r>
      <w:r w:rsidR="00831E3E">
        <w:rPr>
          <w:rFonts w:asciiTheme="majorHAnsi" w:hAnsiTheme="majorHAnsi" w:cstheme="majorHAnsi"/>
        </w:rPr>
        <w:t xml:space="preserve"> hearing</w:t>
      </w:r>
      <w:r>
        <w:rPr>
          <w:rFonts w:asciiTheme="majorHAnsi" w:hAnsiTheme="majorHAnsi" w:cstheme="majorHAnsi"/>
        </w:rPr>
        <w:t xml:space="preserve"> </w:t>
      </w:r>
      <w:r w:rsidR="005A4652">
        <w:rPr>
          <w:rFonts w:asciiTheme="majorHAnsi" w:hAnsiTheme="majorHAnsi" w:cstheme="majorHAnsi"/>
        </w:rPr>
        <w:t>(</w:t>
      </w:r>
      <w:r w:rsidR="002E0E48">
        <w:rPr>
          <w:rFonts w:asciiTheme="majorHAnsi" w:hAnsiTheme="majorHAnsi" w:cstheme="majorHAnsi"/>
        </w:rPr>
        <w:t xml:space="preserve">the </w:t>
      </w:r>
      <w:r w:rsidR="005A4652">
        <w:rPr>
          <w:rFonts w:asciiTheme="majorHAnsi" w:hAnsiTheme="majorHAnsi" w:cstheme="majorHAnsi"/>
        </w:rPr>
        <w:t>j</w:t>
      </w:r>
      <w:r w:rsidR="005A4652" w:rsidRPr="00B82C18">
        <w:rPr>
          <w:rFonts w:asciiTheme="majorHAnsi" w:hAnsiTheme="majorHAnsi" w:cstheme="majorHAnsi"/>
        </w:rPr>
        <w:t xml:space="preserve">udgment </w:t>
      </w:r>
      <w:r w:rsidR="002E0E48">
        <w:rPr>
          <w:rFonts w:asciiTheme="majorHAnsi" w:hAnsiTheme="majorHAnsi" w:cstheme="majorHAnsi"/>
        </w:rPr>
        <w:t xml:space="preserve">comprehensively lays out the law and can be found </w:t>
      </w:r>
      <w:hyperlink r:id="rId7" w:history="1">
        <w:r w:rsidR="005A4652" w:rsidRPr="00B82C18">
          <w:rPr>
            <w:rStyle w:val="Hyperlink"/>
            <w:rFonts w:asciiTheme="majorHAnsi" w:hAnsiTheme="majorHAnsi" w:cstheme="majorHAnsi"/>
          </w:rPr>
          <w:t>here</w:t>
        </w:r>
      </w:hyperlink>
      <w:r w:rsidR="005A4652">
        <w:rPr>
          <w:rFonts w:asciiTheme="majorHAnsi" w:hAnsiTheme="majorHAnsi" w:cstheme="majorHAnsi"/>
        </w:rPr>
        <w:t xml:space="preserve">) </w:t>
      </w:r>
      <w:r>
        <w:rPr>
          <w:rFonts w:asciiTheme="majorHAnsi" w:hAnsiTheme="majorHAnsi" w:cstheme="majorHAnsi"/>
        </w:rPr>
        <w:t>which was not agreed by the W</w:t>
      </w:r>
      <w:r w:rsidR="00831E3E">
        <w:rPr>
          <w:rFonts w:asciiTheme="majorHAnsi" w:hAnsiTheme="majorHAnsi" w:cstheme="majorHAnsi"/>
        </w:rPr>
        <w:t xml:space="preserve"> – </w:t>
      </w:r>
      <w:r>
        <w:rPr>
          <w:rFonts w:asciiTheme="majorHAnsi" w:hAnsiTheme="majorHAnsi" w:cstheme="majorHAnsi"/>
        </w:rPr>
        <w:t>in the region of £13.2M</w:t>
      </w:r>
      <w:r w:rsidR="00095E4F">
        <w:rPr>
          <w:rFonts w:asciiTheme="majorHAnsi" w:hAnsiTheme="majorHAnsi" w:cstheme="majorHAnsi"/>
        </w:rPr>
        <w:t xml:space="preserve">. </w:t>
      </w:r>
      <w:r w:rsidR="00B32115">
        <w:rPr>
          <w:rFonts w:asciiTheme="majorHAnsi" w:hAnsiTheme="majorHAnsi" w:cstheme="majorHAnsi"/>
        </w:rPr>
        <w:t xml:space="preserve">There were concurrent civil proceedings in the US initiated by the W against the W and a bank in respect of mortgages on two properties the parties hold in Wyoming. </w:t>
      </w:r>
    </w:p>
    <w:p w14:paraId="47BFFAE9" w14:textId="77777777" w:rsidR="005A4652" w:rsidRDefault="005A4652" w:rsidP="005A4652">
      <w:pPr>
        <w:tabs>
          <w:tab w:val="left" w:pos="1843"/>
        </w:tabs>
        <w:jc w:val="both"/>
        <w:rPr>
          <w:rFonts w:asciiTheme="majorHAnsi" w:hAnsiTheme="majorHAnsi" w:cstheme="majorHAnsi"/>
        </w:rPr>
      </w:pPr>
    </w:p>
    <w:p w14:paraId="63FE1402" w14:textId="2235C943" w:rsidR="00B32115" w:rsidRDefault="00B32115" w:rsidP="005671C0">
      <w:pPr>
        <w:tabs>
          <w:tab w:val="left" w:pos="1843"/>
        </w:tabs>
        <w:jc w:val="both"/>
        <w:rPr>
          <w:rFonts w:asciiTheme="majorHAnsi" w:hAnsiTheme="majorHAnsi" w:cstheme="majorHAnsi"/>
        </w:rPr>
      </w:pPr>
      <w:r>
        <w:rPr>
          <w:rFonts w:asciiTheme="majorHAnsi" w:hAnsiTheme="majorHAnsi" w:cstheme="majorHAnsi"/>
        </w:rPr>
        <w:t>The MPS was for £</w:t>
      </w:r>
      <w:r w:rsidRPr="00B32115">
        <w:rPr>
          <w:rFonts w:asciiTheme="majorHAnsi" w:hAnsiTheme="majorHAnsi" w:cstheme="majorHAnsi"/>
        </w:rPr>
        <w:t>141,154</w:t>
      </w:r>
      <w:r>
        <w:rPr>
          <w:rFonts w:asciiTheme="majorHAnsi" w:hAnsiTheme="majorHAnsi" w:cstheme="majorHAnsi"/>
        </w:rPr>
        <w:t xml:space="preserve"> per annum</w:t>
      </w:r>
      <w:r w:rsidR="00095E4F">
        <w:rPr>
          <w:rFonts w:asciiTheme="majorHAnsi" w:hAnsiTheme="majorHAnsi" w:cstheme="majorHAnsi"/>
        </w:rPr>
        <w:t xml:space="preserve"> including a £7,000 monthly budget to rent in London,</w:t>
      </w:r>
      <w:r>
        <w:rPr>
          <w:rFonts w:asciiTheme="majorHAnsi" w:hAnsiTheme="majorHAnsi" w:cstheme="majorHAnsi"/>
        </w:rPr>
        <w:t xml:space="preserve"> with the H to</w:t>
      </w:r>
      <w:r w:rsidR="00B82C18">
        <w:rPr>
          <w:rFonts w:asciiTheme="majorHAnsi" w:hAnsiTheme="majorHAnsi" w:cstheme="majorHAnsi"/>
        </w:rPr>
        <w:t xml:space="preserve"> also</w:t>
      </w:r>
      <w:r>
        <w:rPr>
          <w:rFonts w:asciiTheme="majorHAnsi" w:hAnsiTheme="majorHAnsi" w:cstheme="majorHAnsi"/>
        </w:rPr>
        <w:t xml:space="preserve"> pay the costs of the W’s move to London</w:t>
      </w:r>
      <w:r w:rsidR="00B82C18">
        <w:rPr>
          <w:rFonts w:asciiTheme="majorHAnsi" w:hAnsiTheme="majorHAnsi" w:cstheme="majorHAnsi"/>
        </w:rPr>
        <w:t xml:space="preserve">, the </w:t>
      </w:r>
      <w:r w:rsidR="00B82C18" w:rsidRPr="00B82C18">
        <w:rPr>
          <w:rFonts w:asciiTheme="majorHAnsi" w:hAnsiTheme="majorHAnsi" w:cstheme="majorHAnsi"/>
        </w:rPr>
        <w:t>children's school fees and all reasonable extras, summer tuition and university expenses</w:t>
      </w:r>
      <w:r>
        <w:rPr>
          <w:rFonts w:asciiTheme="majorHAnsi" w:hAnsiTheme="majorHAnsi" w:cstheme="majorHAnsi"/>
        </w:rPr>
        <w:t>. The LSPO provided for a payment of £221,554 for costs to the PTR, with a further £</w:t>
      </w:r>
      <w:r w:rsidRPr="00B32115">
        <w:rPr>
          <w:rFonts w:asciiTheme="majorHAnsi" w:hAnsiTheme="majorHAnsi" w:cstheme="majorHAnsi"/>
        </w:rPr>
        <w:t>151,000, to be paid in two further instalments following the PT</w:t>
      </w:r>
      <w:r>
        <w:rPr>
          <w:rFonts w:asciiTheme="majorHAnsi" w:hAnsiTheme="majorHAnsi" w:cstheme="majorHAnsi"/>
        </w:rPr>
        <w:t xml:space="preserve">R. </w:t>
      </w:r>
    </w:p>
    <w:p w14:paraId="783EB635" w14:textId="77777777" w:rsidR="008C0AD7" w:rsidRDefault="008C0AD7" w:rsidP="005671C0">
      <w:pPr>
        <w:tabs>
          <w:tab w:val="left" w:pos="1843"/>
        </w:tabs>
        <w:jc w:val="both"/>
        <w:rPr>
          <w:rFonts w:asciiTheme="majorHAnsi" w:hAnsiTheme="majorHAnsi" w:cstheme="majorHAnsi"/>
        </w:rPr>
      </w:pPr>
    </w:p>
    <w:p w14:paraId="633975F8" w14:textId="2D03ACA5" w:rsidR="004E6BFD" w:rsidRDefault="008C0AD7" w:rsidP="005671C0">
      <w:pPr>
        <w:tabs>
          <w:tab w:val="left" w:pos="1843"/>
        </w:tabs>
        <w:jc w:val="both"/>
        <w:rPr>
          <w:rFonts w:asciiTheme="majorHAnsi" w:hAnsiTheme="majorHAnsi" w:cstheme="majorHAnsi"/>
        </w:rPr>
      </w:pPr>
      <w:r>
        <w:rPr>
          <w:rFonts w:asciiTheme="majorHAnsi" w:hAnsiTheme="majorHAnsi" w:cstheme="majorHAnsi"/>
        </w:rPr>
        <w:t xml:space="preserve">Importantly in relation to the W’s MPS application, Macdonald J </w:t>
      </w:r>
      <w:r>
        <w:rPr>
          <w:rFonts w:asciiTheme="majorHAnsi" w:hAnsiTheme="majorHAnsi" w:cstheme="majorHAnsi"/>
          <w:i/>
          <w:iCs/>
        </w:rPr>
        <w:t>‘</w:t>
      </w:r>
      <w:r w:rsidRPr="00B32115">
        <w:rPr>
          <w:rFonts w:asciiTheme="majorHAnsi" w:hAnsiTheme="majorHAnsi" w:cstheme="majorHAnsi"/>
          <w:i/>
          <w:iCs/>
        </w:rPr>
        <w:t xml:space="preserve">was satisfied that </w:t>
      </w:r>
      <w:r>
        <w:rPr>
          <w:rFonts w:asciiTheme="majorHAnsi" w:hAnsiTheme="majorHAnsi" w:cstheme="majorHAnsi"/>
          <w:i/>
          <w:iCs/>
        </w:rPr>
        <w:t>[the W]</w:t>
      </w:r>
      <w:r w:rsidRPr="00B32115">
        <w:rPr>
          <w:rFonts w:asciiTheme="majorHAnsi" w:hAnsiTheme="majorHAnsi" w:cstheme="majorHAnsi"/>
          <w:i/>
          <w:iCs/>
        </w:rPr>
        <w:t xml:space="preserve"> intended to return to rented accommodation in central London and that that intention constituted the most obvious material change of circumstances informing the court's evaluation of reasonableness in the context of the application for MPS</w:t>
      </w:r>
      <w:r>
        <w:rPr>
          <w:rFonts w:asciiTheme="majorHAnsi" w:hAnsiTheme="majorHAnsi" w:cstheme="majorHAnsi"/>
          <w:i/>
          <w:iCs/>
        </w:rPr>
        <w:t>’</w:t>
      </w:r>
      <w:r>
        <w:rPr>
          <w:rFonts w:asciiTheme="majorHAnsi" w:hAnsiTheme="majorHAnsi" w:cstheme="majorHAnsi"/>
        </w:rPr>
        <w:t>. The W instead moved to one of the two Wyoming</w:t>
      </w:r>
      <w:r w:rsidR="00095E4F">
        <w:rPr>
          <w:rFonts w:asciiTheme="majorHAnsi" w:hAnsiTheme="majorHAnsi" w:cstheme="majorHAnsi"/>
        </w:rPr>
        <w:t xml:space="preserve"> properties and her solicitor sought in inter-</w:t>
      </w:r>
      <w:proofErr w:type="spellStart"/>
      <w:r w:rsidR="00095E4F">
        <w:rPr>
          <w:rFonts w:asciiTheme="majorHAnsi" w:hAnsiTheme="majorHAnsi" w:cstheme="majorHAnsi"/>
        </w:rPr>
        <w:t>partes</w:t>
      </w:r>
      <w:proofErr w:type="spellEnd"/>
      <w:r w:rsidR="00095E4F">
        <w:rPr>
          <w:rFonts w:asciiTheme="majorHAnsi" w:hAnsiTheme="majorHAnsi" w:cstheme="majorHAnsi"/>
        </w:rPr>
        <w:t xml:space="preserve"> correspondence for the F to cover the related moving costs. Macdonald J notes that the W’s decision prevented that property from providing an income stream.</w:t>
      </w:r>
    </w:p>
    <w:p w14:paraId="07E2AAD7" w14:textId="77777777" w:rsidR="005A4652" w:rsidRDefault="005A4652" w:rsidP="005671C0">
      <w:pPr>
        <w:tabs>
          <w:tab w:val="left" w:pos="1843"/>
        </w:tabs>
        <w:jc w:val="both"/>
        <w:rPr>
          <w:rFonts w:asciiTheme="majorHAnsi" w:hAnsiTheme="majorHAnsi" w:cstheme="majorHAnsi"/>
        </w:rPr>
      </w:pPr>
    </w:p>
    <w:p w14:paraId="01F5B425" w14:textId="49EBE15D" w:rsidR="005A4652" w:rsidRPr="005A4652" w:rsidRDefault="005A4652" w:rsidP="005671C0">
      <w:pPr>
        <w:tabs>
          <w:tab w:val="left" w:pos="1843"/>
        </w:tabs>
        <w:jc w:val="both"/>
        <w:rPr>
          <w:rFonts w:asciiTheme="majorHAnsi" w:hAnsiTheme="majorHAnsi" w:cstheme="majorHAnsi"/>
          <w:b/>
          <w:bCs/>
        </w:rPr>
      </w:pPr>
      <w:r>
        <w:rPr>
          <w:rFonts w:asciiTheme="majorHAnsi" w:hAnsiTheme="majorHAnsi" w:cstheme="majorHAnsi"/>
          <w:b/>
          <w:bCs/>
        </w:rPr>
        <w:lastRenderedPageBreak/>
        <w:t>The Applications</w:t>
      </w:r>
    </w:p>
    <w:p w14:paraId="6D74436A" w14:textId="77777777" w:rsidR="00B82C18" w:rsidRDefault="00B82C18" w:rsidP="005671C0">
      <w:pPr>
        <w:tabs>
          <w:tab w:val="left" w:pos="1843"/>
        </w:tabs>
        <w:jc w:val="both"/>
        <w:rPr>
          <w:rFonts w:asciiTheme="majorHAnsi" w:hAnsiTheme="majorHAnsi" w:cstheme="majorHAnsi"/>
        </w:rPr>
      </w:pPr>
    </w:p>
    <w:p w14:paraId="198FB9D4" w14:textId="00F1DE59" w:rsidR="00B82C18" w:rsidRDefault="00B82C18" w:rsidP="00B82C18">
      <w:pPr>
        <w:tabs>
          <w:tab w:val="left" w:pos="1843"/>
        </w:tabs>
        <w:jc w:val="both"/>
        <w:rPr>
          <w:rFonts w:asciiTheme="majorHAnsi" w:hAnsiTheme="majorHAnsi" w:cstheme="majorHAnsi"/>
        </w:rPr>
      </w:pPr>
      <w:r>
        <w:rPr>
          <w:rFonts w:asciiTheme="majorHAnsi" w:hAnsiTheme="majorHAnsi" w:cstheme="majorHAnsi"/>
        </w:rPr>
        <w:t>There were other interim orders that the parties made applications in respect of and in December 2023, Macdonald J determined eight interim applications dated 23 October 2023 as follows:</w:t>
      </w:r>
    </w:p>
    <w:p w14:paraId="39D8B67C" w14:textId="081AD972" w:rsidR="00B82C18" w:rsidRPr="00534AD9" w:rsidRDefault="00B82C18" w:rsidP="00534AD9">
      <w:pPr>
        <w:pStyle w:val="ListParagraph"/>
        <w:numPr>
          <w:ilvl w:val="0"/>
          <w:numId w:val="2"/>
        </w:numPr>
        <w:tabs>
          <w:tab w:val="left" w:pos="1843"/>
        </w:tabs>
        <w:jc w:val="both"/>
        <w:rPr>
          <w:rFonts w:asciiTheme="majorHAnsi" w:hAnsiTheme="majorHAnsi" w:cstheme="majorHAnsi"/>
        </w:rPr>
      </w:pPr>
      <w:r w:rsidRPr="00534AD9">
        <w:rPr>
          <w:rFonts w:asciiTheme="majorHAnsi" w:hAnsiTheme="majorHAnsi" w:cstheme="majorHAnsi"/>
        </w:rPr>
        <w:t xml:space="preserve">by the H for the discharge of the freezing order made on 7 September 2023 in respect of his life insurance </w:t>
      </w:r>
      <w:proofErr w:type="gramStart"/>
      <w:r w:rsidRPr="00534AD9">
        <w:rPr>
          <w:rFonts w:asciiTheme="majorHAnsi" w:hAnsiTheme="majorHAnsi" w:cstheme="majorHAnsi"/>
        </w:rPr>
        <w:t>policy;</w:t>
      </w:r>
      <w:proofErr w:type="gramEnd"/>
    </w:p>
    <w:p w14:paraId="49DD7CED" w14:textId="4E7D5746" w:rsidR="00B82C18" w:rsidRPr="00B82C18" w:rsidRDefault="00B82C18" w:rsidP="00B82C18">
      <w:pPr>
        <w:pStyle w:val="ListParagraph"/>
        <w:numPr>
          <w:ilvl w:val="0"/>
          <w:numId w:val="2"/>
        </w:numPr>
        <w:tabs>
          <w:tab w:val="left" w:pos="1843"/>
        </w:tabs>
        <w:jc w:val="both"/>
        <w:rPr>
          <w:rFonts w:asciiTheme="majorHAnsi" w:hAnsiTheme="majorHAnsi" w:cstheme="majorHAnsi"/>
        </w:rPr>
      </w:pPr>
      <w:r w:rsidRPr="00B82C18">
        <w:rPr>
          <w:rFonts w:asciiTheme="majorHAnsi" w:hAnsiTheme="majorHAnsi" w:cstheme="majorHAnsi"/>
        </w:rPr>
        <w:t xml:space="preserve">by the </w:t>
      </w:r>
      <w:r>
        <w:rPr>
          <w:rFonts w:asciiTheme="majorHAnsi" w:hAnsiTheme="majorHAnsi" w:cstheme="majorHAnsi"/>
        </w:rPr>
        <w:t>H</w:t>
      </w:r>
      <w:r w:rsidRPr="00B82C18">
        <w:rPr>
          <w:rFonts w:asciiTheme="majorHAnsi" w:hAnsiTheme="majorHAnsi" w:cstheme="majorHAnsi"/>
        </w:rPr>
        <w:t xml:space="preserve"> for an order that he shall borrow against the policy in the sum of $492,501 and the funds be divided equally between the parties</w:t>
      </w:r>
      <w:r>
        <w:rPr>
          <w:rFonts w:asciiTheme="majorHAnsi" w:hAnsiTheme="majorHAnsi" w:cstheme="majorHAnsi"/>
        </w:rPr>
        <w:t xml:space="preserve"> in lieu of the MPS </w:t>
      </w:r>
      <w:proofErr w:type="gramStart"/>
      <w:r>
        <w:rPr>
          <w:rFonts w:asciiTheme="majorHAnsi" w:hAnsiTheme="majorHAnsi" w:cstheme="majorHAnsi"/>
        </w:rPr>
        <w:t>payments;</w:t>
      </w:r>
      <w:proofErr w:type="gramEnd"/>
    </w:p>
    <w:p w14:paraId="3192A765" w14:textId="3FAD3BE5" w:rsidR="00B82C18" w:rsidRPr="00B82C18" w:rsidRDefault="00B82C18" w:rsidP="00B82C18">
      <w:pPr>
        <w:pStyle w:val="ListParagraph"/>
        <w:numPr>
          <w:ilvl w:val="0"/>
          <w:numId w:val="2"/>
        </w:numPr>
        <w:tabs>
          <w:tab w:val="left" w:pos="1843"/>
        </w:tabs>
        <w:jc w:val="both"/>
        <w:rPr>
          <w:rFonts w:asciiTheme="majorHAnsi" w:hAnsiTheme="majorHAnsi" w:cstheme="majorHAnsi"/>
        </w:rPr>
      </w:pPr>
      <w:r w:rsidRPr="00B82C18">
        <w:rPr>
          <w:rFonts w:asciiTheme="majorHAnsi" w:hAnsiTheme="majorHAnsi" w:cstheme="majorHAnsi"/>
        </w:rPr>
        <w:t xml:space="preserve">by the </w:t>
      </w:r>
      <w:r>
        <w:rPr>
          <w:rFonts w:asciiTheme="majorHAnsi" w:hAnsiTheme="majorHAnsi" w:cstheme="majorHAnsi"/>
        </w:rPr>
        <w:t xml:space="preserve">H </w:t>
      </w:r>
      <w:r w:rsidR="005A4652">
        <w:rPr>
          <w:rFonts w:asciiTheme="majorHAnsi" w:hAnsiTheme="majorHAnsi" w:cstheme="majorHAnsi"/>
        </w:rPr>
        <w:t>for</w:t>
      </w:r>
      <w:r w:rsidRPr="00B82C18">
        <w:rPr>
          <w:rFonts w:asciiTheme="majorHAnsi" w:hAnsiTheme="majorHAnsi" w:cstheme="majorHAnsi"/>
        </w:rPr>
        <w:t xml:space="preserve"> parties</w:t>
      </w:r>
      <w:r w:rsidR="005A4652">
        <w:rPr>
          <w:rFonts w:asciiTheme="majorHAnsi" w:hAnsiTheme="majorHAnsi" w:cstheme="majorHAnsi"/>
        </w:rPr>
        <w:t xml:space="preserve"> to</w:t>
      </w:r>
      <w:r w:rsidRPr="00B82C18">
        <w:rPr>
          <w:rFonts w:asciiTheme="majorHAnsi" w:hAnsiTheme="majorHAnsi" w:cstheme="majorHAnsi"/>
        </w:rPr>
        <w:t xml:space="preserve"> be released from undertakings </w:t>
      </w:r>
      <w:r>
        <w:rPr>
          <w:rFonts w:asciiTheme="majorHAnsi" w:hAnsiTheme="majorHAnsi" w:cstheme="majorHAnsi"/>
        </w:rPr>
        <w:t xml:space="preserve">to </w:t>
      </w:r>
      <w:r w:rsidRPr="00B82C18">
        <w:rPr>
          <w:rFonts w:asciiTheme="majorHAnsi" w:hAnsiTheme="majorHAnsi" w:cstheme="majorHAnsi"/>
        </w:rPr>
        <w:t>not in any</w:t>
      </w:r>
      <w:r>
        <w:rPr>
          <w:rFonts w:asciiTheme="majorHAnsi" w:hAnsiTheme="majorHAnsi" w:cstheme="majorHAnsi"/>
        </w:rPr>
        <w:t xml:space="preserve"> </w:t>
      </w:r>
      <w:r w:rsidRPr="00B82C18">
        <w:rPr>
          <w:rFonts w:asciiTheme="majorHAnsi" w:hAnsiTheme="majorHAnsi" w:cstheme="majorHAnsi"/>
        </w:rPr>
        <w:t xml:space="preserve">way to dispose of, deal with or diminish the value of two bank accounts and be permitted to use the funds </w:t>
      </w:r>
      <w:proofErr w:type="gramStart"/>
      <w:r w:rsidRPr="00B82C18">
        <w:rPr>
          <w:rFonts w:asciiTheme="majorHAnsi" w:hAnsiTheme="majorHAnsi" w:cstheme="majorHAnsi"/>
        </w:rPr>
        <w:t>therein</w:t>
      </w:r>
      <w:r>
        <w:rPr>
          <w:rFonts w:asciiTheme="majorHAnsi" w:hAnsiTheme="majorHAnsi" w:cstheme="majorHAnsi"/>
        </w:rPr>
        <w:t>;</w:t>
      </w:r>
      <w:proofErr w:type="gramEnd"/>
    </w:p>
    <w:p w14:paraId="63F0776D" w14:textId="574F4A09" w:rsidR="00B82C18" w:rsidRPr="00B82C18" w:rsidRDefault="00B82C18" w:rsidP="00B82C18">
      <w:pPr>
        <w:pStyle w:val="ListParagraph"/>
        <w:numPr>
          <w:ilvl w:val="0"/>
          <w:numId w:val="2"/>
        </w:numPr>
        <w:tabs>
          <w:tab w:val="left" w:pos="1843"/>
        </w:tabs>
        <w:jc w:val="both"/>
        <w:rPr>
          <w:rFonts w:asciiTheme="majorHAnsi" w:hAnsiTheme="majorHAnsi" w:cstheme="majorHAnsi"/>
        </w:rPr>
      </w:pPr>
      <w:r>
        <w:rPr>
          <w:rFonts w:asciiTheme="majorHAnsi" w:hAnsiTheme="majorHAnsi" w:cstheme="majorHAnsi"/>
        </w:rPr>
        <w:t xml:space="preserve">by </w:t>
      </w:r>
      <w:r w:rsidRPr="00B82C18">
        <w:rPr>
          <w:rFonts w:asciiTheme="majorHAnsi" w:hAnsiTheme="majorHAnsi" w:cstheme="majorHAnsi"/>
        </w:rPr>
        <w:t xml:space="preserve">the </w:t>
      </w:r>
      <w:r>
        <w:rPr>
          <w:rFonts w:asciiTheme="majorHAnsi" w:hAnsiTheme="majorHAnsi" w:cstheme="majorHAnsi"/>
        </w:rPr>
        <w:t>H</w:t>
      </w:r>
      <w:r w:rsidRPr="00B82C18">
        <w:rPr>
          <w:rFonts w:asciiTheme="majorHAnsi" w:hAnsiTheme="majorHAnsi" w:cstheme="majorHAnsi"/>
        </w:rPr>
        <w:t xml:space="preserve"> for an order that the wife vacate the Wyoming property and for the net rental income from that property and properties </w:t>
      </w:r>
      <w:r>
        <w:rPr>
          <w:rFonts w:asciiTheme="majorHAnsi" w:hAnsiTheme="majorHAnsi" w:cstheme="majorHAnsi"/>
        </w:rPr>
        <w:t xml:space="preserve">held </w:t>
      </w:r>
      <w:r w:rsidRPr="00B82C18">
        <w:rPr>
          <w:rFonts w:asciiTheme="majorHAnsi" w:hAnsiTheme="majorHAnsi" w:cstheme="majorHAnsi"/>
        </w:rPr>
        <w:t xml:space="preserve">in New York be divided equally between the </w:t>
      </w:r>
      <w:proofErr w:type="gramStart"/>
      <w:r w:rsidRPr="00B82C18">
        <w:rPr>
          <w:rFonts w:asciiTheme="majorHAnsi" w:hAnsiTheme="majorHAnsi" w:cstheme="majorHAnsi"/>
        </w:rPr>
        <w:t>parties</w:t>
      </w:r>
      <w:r>
        <w:rPr>
          <w:rFonts w:asciiTheme="majorHAnsi" w:hAnsiTheme="majorHAnsi" w:cstheme="majorHAnsi"/>
        </w:rPr>
        <w:t>;</w:t>
      </w:r>
      <w:proofErr w:type="gramEnd"/>
      <w:r>
        <w:rPr>
          <w:rFonts w:asciiTheme="majorHAnsi" w:hAnsiTheme="majorHAnsi" w:cstheme="majorHAnsi"/>
        </w:rPr>
        <w:t xml:space="preserve"> </w:t>
      </w:r>
    </w:p>
    <w:p w14:paraId="1B226C16" w14:textId="0F060661" w:rsidR="00B82C18" w:rsidRPr="00B82C18" w:rsidRDefault="00B82C18" w:rsidP="00B82C18">
      <w:pPr>
        <w:pStyle w:val="ListParagraph"/>
        <w:numPr>
          <w:ilvl w:val="0"/>
          <w:numId w:val="2"/>
        </w:numPr>
        <w:tabs>
          <w:tab w:val="left" w:pos="1843"/>
        </w:tabs>
        <w:jc w:val="both"/>
        <w:rPr>
          <w:rFonts w:asciiTheme="majorHAnsi" w:hAnsiTheme="majorHAnsi" w:cstheme="majorHAnsi"/>
        </w:rPr>
      </w:pPr>
      <w:r>
        <w:rPr>
          <w:rFonts w:asciiTheme="majorHAnsi" w:hAnsiTheme="majorHAnsi" w:cstheme="majorHAnsi"/>
        </w:rPr>
        <w:t>by the</w:t>
      </w:r>
      <w:r w:rsidRPr="00B82C18">
        <w:rPr>
          <w:rFonts w:asciiTheme="majorHAnsi" w:hAnsiTheme="majorHAnsi" w:cstheme="majorHAnsi"/>
        </w:rPr>
        <w:t xml:space="preserve"> </w:t>
      </w:r>
      <w:r>
        <w:rPr>
          <w:rFonts w:asciiTheme="majorHAnsi" w:hAnsiTheme="majorHAnsi" w:cstheme="majorHAnsi"/>
        </w:rPr>
        <w:t>H</w:t>
      </w:r>
      <w:r w:rsidRPr="00B82C18">
        <w:rPr>
          <w:rFonts w:asciiTheme="majorHAnsi" w:hAnsiTheme="majorHAnsi" w:cstheme="majorHAnsi"/>
        </w:rPr>
        <w:t xml:space="preserve"> for discharge of the </w:t>
      </w:r>
      <w:proofErr w:type="gramStart"/>
      <w:r w:rsidRPr="00B82C18">
        <w:rPr>
          <w:rFonts w:asciiTheme="majorHAnsi" w:hAnsiTheme="majorHAnsi" w:cstheme="majorHAnsi"/>
        </w:rPr>
        <w:t>MPS;</w:t>
      </w:r>
      <w:proofErr w:type="gramEnd"/>
    </w:p>
    <w:p w14:paraId="1529C751" w14:textId="22916A41" w:rsidR="00B82C18" w:rsidRDefault="00B82C18" w:rsidP="00B82C18">
      <w:pPr>
        <w:pStyle w:val="ListParagraph"/>
        <w:numPr>
          <w:ilvl w:val="0"/>
          <w:numId w:val="2"/>
        </w:numPr>
        <w:tabs>
          <w:tab w:val="left" w:pos="1843"/>
        </w:tabs>
        <w:jc w:val="both"/>
        <w:rPr>
          <w:rFonts w:asciiTheme="majorHAnsi" w:hAnsiTheme="majorHAnsi" w:cstheme="majorHAnsi"/>
        </w:rPr>
      </w:pPr>
      <w:r>
        <w:rPr>
          <w:rFonts w:asciiTheme="majorHAnsi" w:hAnsiTheme="majorHAnsi" w:cstheme="majorHAnsi"/>
        </w:rPr>
        <w:t>by</w:t>
      </w:r>
      <w:r w:rsidRPr="00B82C18">
        <w:rPr>
          <w:rFonts w:asciiTheme="majorHAnsi" w:hAnsiTheme="majorHAnsi" w:cstheme="majorHAnsi"/>
        </w:rPr>
        <w:t xml:space="preserve"> the </w:t>
      </w:r>
      <w:r>
        <w:rPr>
          <w:rFonts w:asciiTheme="majorHAnsi" w:hAnsiTheme="majorHAnsi" w:cstheme="majorHAnsi"/>
        </w:rPr>
        <w:t>H</w:t>
      </w:r>
      <w:r w:rsidRPr="00B82C18">
        <w:rPr>
          <w:rFonts w:asciiTheme="majorHAnsi" w:hAnsiTheme="majorHAnsi" w:cstheme="majorHAnsi"/>
        </w:rPr>
        <w:t xml:space="preserve"> </w:t>
      </w:r>
      <w:r w:rsidR="005A4652">
        <w:rPr>
          <w:rFonts w:asciiTheme="majorHAnsi" w:hAnsiTheme="majorHAnsi" w:cstheme="majorHAnsi"/>
        </w:rPr>
        <w:t>for</w:t>
      </w:r>
      <w:r w:rsidRPr="00B82C18">
        <w:rPr>
          <w:rFonts w:asciiTheme="majorHAnsi" w:hAnsiTheme="majorHAnsi" w:cstheme="majorHAnsi"/>
        </w:rPr>
        <w:t xml:space="preserve"> discharge </w:t>
      </w:r>
      <w:r w:rsidR="005A4652">
        <w:rPr>
          <w:rFonts w:asciiTheme="majorHAnsi" w:hAnsiTheme="majorHAnsi" w:cstheme="majorHAnsi"/>
        </w:rPr>
        <w:t xml:space="preserve">of </w:t>
      </w:r>
      <w:r w:rsidRPr="00B82C18">
        <w:rPr>
          <w:rFonts w:asciiTheme="majorHAnsi" w:hAnsiTheme="majorHAnsi" w:cstheme="majorHAnsi"/>
        </w:rPr>
        <w:t xml:space="preserve">the </w:t>
      </w:r>
      <w:proofErr w:type="gramStart"/>
      <w:r w:rsidRPr="00B82C18">
        <w:rPr>
          <w:rFonts w:asciiTheme="majorHAnsi" w:hAnsiTheme="majorHAnsi" w:cstheme="majorHAnsi"/>
        </w:rPr>
        <w:t>LSPO</w:t>
      </w:r>
      <w:r>
        <w:rPr>
          <w:rFonts w:asciiTheme="majorHAnsi" w:hAnsiTheme="majorHAnsi" w:cstheme="majorHAnsi"/>
        </w:rPr>
        <w:t>;</w:t>
      </w:r>
      <w:proofErr w:type="gramEnd"/>
    </w:p>
    <w:p w14:paraId="73249C7B" w14:textId="54A4668C" w:rsidR="00534AD9" w:rsidRDefault="00534AD9" w:rsidP="00534AD9">
      <w:pPr>
        <w:pStyle w:val="ListParagraph"/>
        <w:numPr>
          <w:ilvl w:val="0"/>
          <w:numId w:val="2"/>
        </w:numPr>
        <w:tabs>
          <w:tab w:val="left" w:pos="1843"/>
        </w:tabs>
        <w:jc w:val="both"/>
        <w:rPr>
          <w:rFonts w:asciiTheme="majorHAnsi" w:hAnsiTheme="majorHAnsi" w:cstheme="majorHAnsi"/>
        </w:rPr>
      </w:pPr>
      <w:r>
        <w:rPr>
          <w:rFonts w:asciiTheme="majorHAnsi" w:hAnsiTheme="majorHAnsi" w:cstheme="majorHAnsi"/>
        </w:rPr>
        <w:t>b</w:t>
      </w:r>
      <w:r w:rsidR="00B82C18" w:rsidRPr="00B82C18">
        <w:rPr>
          <w:rFonts w:asciiTheme="majorHAnsi" w:hAnsiTheme="majorHAnsi" w:cstheme="majorHAnsi"/>
        </w:rPr>
        <w:t>y the W for the adjournment of the return</w:t>
      </w:r>
      <w:r>
        <w:rPr>
          <w:rFonts w:asciiTheme="majorHAnsi" w:hAnsiTheme="majorHAnsi" w:cstheme="majorHAnsi"/>
        </w:rPr>
        <w:t xml:space="preserve"> </w:t>
      </w:r>
      <w:r w:rsidR="00B82C18" w:rsidRPr="00534AD9">
        <w:rPr>
          <w:rFonts w:asciiTheme="majorHAnsi" w:hAnsiTheme="majorHAnsi" w:cstheme="majorHAnsi"/>
        </w:rPr>
        <w:t xml:space="preserve">date for the freezing order; and </w:t>
      </w:r>
    </w:p>
    <w:p w14:paraId="565F04B5" w14:textId="70019DFC" w:rsidR="004E6BFD" w:rsidRDefault="00534AD9" w:rsidP="00534AD9">
      <w:pPr>
        <w:pStyle w:val="ListParagraph"/>
        <w:numPr>
          <w:ilvl w:val="0"/>
          <w:numId w:val="2"/>
        </w:numPr>
        <w:tabs>
          <w:tab w:val="left" w:pos="1843"/>
        </w:tabs>
        <w:jc w:val="both"/>
        <w:rPr>
          <w:rFonts w:asciiTheme="majorHAnsi" w:hAnsiTheme="majorHAnsi" w:cstheme="majorHAnsi"/>
        </w:rPr>
      </w:pPr>
      <w:r>
        <w:rPr>
          <w:rFonts w:asciiTheme="majorHAnsi" w:hAnsiTheme="majorHAnsi" w:cstheme="majorHAnsi"/>
        </w:rPr>
        <w:t>by the W</w:t>
      </w:r>
      <w:r w:rsidR="005A4652">
        <w:rPr>
          <w:rFonts w:asciiTheme="majorHAnsi" w:hAnsiTheme="majorHAnsi" w:cstheme="majorHAnsi"/>
        </w:rPr>
        <w:t xml:space="preserve"> </w:t>
      </w:r>
      <w:r w:rsidR="00B82C18" w:rsidRPr="00534AD9">
        <w:rPr>
          <w:rFonts w:asciiTheme="majorHAnsi" w:hAnsiTheme="majorHAnsi" w:cstheme="majorHAnsi"/>
        </w:rPr>
        <w:t>for enforcement with respect to unpaid MPS and LSPO.</w:t>
      </w:r>
    </w:p>
    <w:p w14:paraId="337531C7" w14:textId="77777777" w:rsidR="005A4652" w:rsidRDefault="005A4652" w:rsidP="005A4652">
      <w:pPr>
        <w:tabs>
          <w:tab w:val="left" w:pos="1843"/>
        </w:tabs>
        <w:jc w:val="both"/>
        <w:rPr>
          <w:rFonts w:asciiTheme="majorHAnsi" w:hAnsiTheme="majorHAnsi" w:cstheme="majorHAnsi"/>
        </w:rPr>
      </w:pPr>
    </w:p>
    <w:p w14:paraId="39F79018" w14:textId="1461F4D1" w:rsidR="005A4652" w:rsidRPr="005A4652" w:rsidRDefault="005A4652" w:rsidP="005A4652">
      <w:pPr>
        <w:tabs>
          <w:tab w:val="left" w:pos="1843"/>
        </w:tabs>
        <w:jc w:val="both"/>
        <w:rPr>
          <w:rFonts w:asciiTheme="majorHAnsi" w:hAnsiTheme="majorHAnsi" w:cstheme="majorHAnsi"/>
          <w:b/>
          <w:bCs/>
        </w:rPr>
      </w:pPr>
      <w:r>
        <w:rPr>
          <w:rFonts w:asciiTheme="majorHAnsi" w:hAnsiTheme="majorHAnsi" w:cstheme="majorHAnsi"/>
          <w:b/>
          <w:bCs/>
        </w:rPr>
        <w:t>The Tests</w:t>
      </w:r>
    </w:p>
    <w:p w14:paraId="5BD3BEE1" w14:textId="77777777" w:rsidR="004E6BFD" w:rsidRDefault="004E6BFD" w:rsidP="005671C0">
      <w:pPr>
        <w:tabs>
          <w:tab w:val="left" w:pos="1843"/>
        </w:tabs>
        <w:jc w:val="both"/>
        <w:rPr>
          <w:rFonts w:asciiTheme="majorHAnsi" w:hAnsiTheme="majorHAnsi" w:cstheme="majorHAnsi"/>
        </w:rPr>
      </w:pPr>
    </w:p>
    <w:p w14:paraId="7E735DDC" w14:textId="02E0F726" w:rsidR="005A4652" w:rsidRDefault="005A4652" w:rsidP="005671C0">
      <w:pPr>
        <w:tabs>
          <w:tab w:val="left" w:pos="1843"/>
        </w:tabs>
        <w:jc w:val="both"/>
        <w:rPr>
          <w:rFonts w:asciiTheme="majorHAnsi" w:hAnsiTheme="majorHAnsi" w:cstheme="majorHAnsi"/>
        </w:rPr>
      </w:pPr>
      <w:r>
        <w:rPr>
          <w:rFonts w:asciiTheme="majorHAnsi" w:hAnsiTheme="majorHAnsi" w:cstheme="majorHAnsi"/>
        </w:rPr>
        <w:t xml:space="preserve">In respect of the LSPO, the applicable law for varying the same is section </w:t>
      </w:r>
      <w:r w:rsidRPr="005A4652">
        <w:rPr>
          <w:rFonts w:asciiTheme="majorHAnsi" w:hAnsiTheme="majorHAnsi" w:cstheme="majorHAnsi"/>
        </w:rPr>
        <w:t xml:space="preserve">22ZA(5) of the Matrimonial Causes Act 1973 </w:t>
      </w:r>
      <w:r>
        <w:rPr>
          <w:rFonts w:asciiTheme="majorHAnsi" w:hAnsiTheme="majorHAnsi" w:cstheme="majorHAnsi"/>
        </w:rPr>
        <w:t xml:space="preserve">(‘the Act’), pursuant which </w:t>
      </w:r>
      <w:r w:rsidRPr="005A4652">
        <w:rPr>
          <w:rFonts w:asciiTheme="majorHAnsi" w:hAnsiTheme="majorHAnsi" w:cstheme="majorHAnsi"/>
        </w:rPr>
        <w:t xml:space="preserve">the court may at any time in the proceedings vary an LSP order if it considers that there has been </w:t>
      </w:r>
      <w:r w:rsidRPr="005A4652">
        <w:rPr>
          <w:rFonts w:asciiTheme="majorHAnsi" w:hAnsiTheme="majorHAnsi" w:cstheme="majorHAnsi"/>
          <w:b/>
          <w:bCs/>
        </w:rPr>
        <w:t>a material change of circumstances</w:t>
      </w:r>
      <w:r w:rsidRPr="005A4652">
        <w:rPr>
          <w:rFonts w:asciiTheme="majorHAnsi" w:hAnsiTheme="majorHAnsi" w:cstheme="majorHAnsi"/>
        </w:rPr>
        <w:t xml:space="preserve"> since the order was made</w:t>
      </w:r>
      <w:r>
        <w:rPr>
          <w:rFonts w:asciiTheme="majorHAnsi" w:hAnsiTheme="majorHAnsi" w:cstheme="majorHAnsi"/>
        </w:rPr>
        <w:t xml:space="preserve">, </w:t>
      </w:r>
      <w:r w:rsidRPr="005A4652">
        <w:rPr>
          <w:rFonts w:asciiTheme="majorHAnsi" w:hAnsiTheme="majorHAnsi" w:cstheme="majorHAnsi"/>
          <w:b/>
          <w:bCs/>
        </w:rPr>
        <w:t>taking into account the factors</w:t>
      </w:r>
      <w:r>
        <w:rPr>
          <w:rFonts w:asciiTheme="majorHAnsi" w:hAnsiTheme="majorHAnsi" w:cstheme="majorHAnsi"/>
        </w:rPr>
        <w:t xml:space="preserve"> at section </w:t>
      </w:r>
      <w:r w:rsidRPr="005A4652">
        <w:rPr>
          <w:rFonts w:asciiTheme="majorHAnsi" w:hAnsiTheme="majorHAnsi" w:cstheme="majorHAnsi"/>
        </w:rPr>
        <w:t>22ZB(1)(a) to (h)</w:t>
      </w:r>
      <w:r>
        <w:rPr>
          <w:rFonts w:asciiTheme="majorHAnsi" w:hAnsiTheme="majorHAnsi" w:cstheme="majorHAnsi"/>
        </w:rPr>
        <w:t xml:space="preserve"> of the Act. </w:t>
      </w:r>
    </w:p>
    <w:p w14:paraId="4CCAD047" w14:textId="77777777" w:rsidR="00B1791B" w:rsidRDefault="00B1791B" w:rsidP="005671C0">
      <w:pPr>
        <w:tabs>
          <w:tab w:val="left" w:pos="1843"/>
        </w:tabs>
        <w:jc w:val="both"/>
        <w:rPr>
          <w:rFonts w:asciiTheme="majorHAnsi" w:hAnsiTheme="majorHAnsi" w:cstheme="majorHAnsi"/>
        </w:rPr>
      </w:pPr>
    </w:p>
    <w:p w14:paraId="286A361C" w14:textId="4D02F82F" w:rsidR="00B1791B" w:rsidRDefault="00B1791B" w:rsidP="005671C0">
      <w:pPr>
        <w:tabs>
          <w:tab w:val="left" w:pos="1843"/>
        </w:tabs>
        <w:jc w:val="both"/>
        <w:rPr>
          <w:rFonts w:asciiTheme="majorHAnsi" w:hAnsiTheme="majorHAnsi" w:cstheme="majorHAnsi"/>
        </w:rPr>
      </w:pPr>
      <w:r>
        <w:rPr>
          <w:rFonts w:asciiTheme="majorHAnsi" w:hAnsiTheme="majorHAnsi" w:cstheme="majorHAnsi"/>
        </w:rPr>
        <w:t xml:space="preserve">In respect of the freezing order, </w:t>
      </w:r>
      <w:r>
        <w:rPr>
          <w:rFonts w:asciiTheme="majorHAnsi" w:hAnsiTheme="majorHAnsi" w:cstheme="majorHAnsi"/>
          <w:i/>
          <w:iCs/>
        </w:rPr>
        <w:t>‘t</w:t>
      </w:r>
      <w:r w:rsidRPr="005A4652">
        <w:rPr>
          <w:rFonts w:asciiTheme="majorHAnsi" w:hAnsiTheme="majorHAnsi" w:cstheme="majorHAnsi"/>
          <w:i/>
          <w:iCs/>
        </w:rPr>
        <w:t>he focus should be on whether, on the facts of the case, the evidence before the court demonstrates objectively a real risk of unjustified dissipation which is sufficient in all the circumstances to render it just and convenient to grant a freezing injunction</w:t>
      </w:r>
      <w:r>
        <w:rPr>
          <w:rFonts w:asciiTheme="majorHAnsi" w:hAnsiTheme="majorHAnsi" w:cstheme="majorHAnsi"/>
          <w:i/>
          <w:iCs/>
        </w:rPr>
        <w:t>’</w:t>
      </w:r>
      <w:r>
        <w:rPr>
          <w:rFonts w:asciiTheme="majorHAnsi" w:hAnsiTheme="majorHAnsi" w:cstheme="majorHAnsi"/>
        </w:rPr>
        <w:t xml:space="preserve"> [33]. </w:t>
      </w:r>
    </w:p>
    <w:p w14:paraId="556665B2" w14:textId="77777777" w:rsidR="005A4652" w:rsidRDefault="005A4652" w:rsidP="005671C0">
      <w:pPr>
        <w:tabs>
          <w:tab w:val="left" w:pos="1843"/>
        </w:tabs>
        <w:jc w:val="both"/>
        <w:rPr>
          <w:rFonts w:asciiTheme="majorHAnsi" w:hAnsiTheme="majorHAnsi" w:cstheme="majorHAnsi"/>
        </w:rPr>
      </w:pPr>
    </w:p>
    <w:p w14:paraId="7B222BA9" w14:textId="77777777" w:rsidR="007276D7" w:rsidRDefault="002E0E48" w:rsidP="005671C0">
      <w:pPr>
        <w:tabs>
          <w:tab w:val="left" w:pos="1843"/>
        </w:tabs>
        <w:jc w:val="both"/>
        <w:rPr>
          <w:rFonts w:asciiTheme="majorHAnsi" w:hAnsiTheme="majorHAnsi" w:cstheme="majorHAnsi"/>
        </w:rPr>
      </w:pPr>
      <w:r>
        <w:rPr>
          <w:rFonts w:asciiTheme="majorHAnsi" w:hAnsiTheme="majorHAnsi" w:cstheme="majorHAnsi"/>
        </w:rPr>
        <w:t xml:space="preserve">Macdonald J did not cite specific authorities on variation of </w:t>
      </w:r>
      <w:r w:rsidR="007276D7">
        <w:rPr>
          <w:rFonts w:asciiTheme="majorHAnsi" w:hAnsiTheme="majorHAnsi" w:cstheme="majorHAnsi"/>
        </w:rPr>
        <w:t xml:space="preserve">MPS </w:t>
      </w:r>
      <w:r>
        <w:rPr>
          <w:rFonts w:asciiTheme="majorHAnsi" w:hAnsiTheme="majorHAnsi" w:cstheme="majorHAnsi"/>
        </w:rPr>
        <w:t>orders</w:t>
      </w:r>
      <w:r w:rsidR="007276D7">
        <w:rPr>
          <w:rFonts w:asciiTheme="majorHAnsi" w:hAnsiTheme="majorHAnsi" w:cstheme="majorHAnsi"/>
        </w:rPr>
        <w:t xml:space="preserve">. </w:t>
      </w:r>
    </w:p>
    <w:p w14:paraId="23737AA9" w14:textId="77777777" w:rsidR="007276D7" w:rsidRDefault="007276D7" w:rsidP="005671C0">
      <w:pPr>
        <w:tabs>
          <w:tab w:val="left" w:pos="1843"/>
        </w:tabs>
        <w:jc w:val="both"/>
        <w:rPr>
          <w:rFonts w:asciiTheme="majorHAnsi" w:hAnsiTheme="majorHAnsi" w:cstheme="majorHAnsi"/>
        </w:rPr>
      </w:pPr>
    </w:p>
    <w:p w14:paraId="10378910" w14:textId="68F1E88E" w:rsidR="007276D7" w:rsidRDefault="007276D7" w:rsidP="005671C0">
      <w:pPr>
        <w:tabs>
          <w:tab w:val="left" w:pos="1843"/>
        </w:tabs>
        <w:jc w:val="both"/>
        <w:rPr>
          <w:rFonts w:asciiTheme="majorHAnsi" w:hAnsiTheme="majorHAnsi" w:cstheme="majorHAnsi"/>
        </w:rPr>
      </w:pPr>
      <w:r>
        <w:rPr>
          <w:rFonts w:asciiTheme="majorHAnsi" w:hAnsiTheme="majorHAnsi" w:cstheme="majorHAnsi"/>
        </w:rPr>
        <w:t>At [29],</w:t>
      </w:r>
      <w:r w:rsidR="005A4652">
        <w:rPr>
          <w:rFonts w:asciiTheme="majorHAnsi" w:hAnsiTheme="majorHAnsi" w:cstheme="majorHAnsi"/>
        </w:rPr>
        <w:t xml:space="preserve"> </w:t>
      </w:r>
      <w:r w:rsidR="005A4652">
        <w:rPr>
          <w:rFonts w:asciiTheme="majorHAnsi" w:hAnsiTheme="majorHAnsi" w:cstheme="majorHAnsi"/>
          <w:i/>
          <w:iCs/>
        </w:rPr>
        <w:t>‘</w:t>
      </w:r>
      <w:r w:rsidR="005A4652" w:rsidRPr="005A4652">
        <w:rPr>
          <w:rFonts w:asciiTheme="majorHAnsi" w:hAnsiTheme="majorHAnsi" w:cstheme="majorHAnsi"/>
          <w:i/>
          <w:iCs/>
        </w:rPr>
        <w:t xml:space="preserve">the court will </w:t>
      </w:r>
      <w:r w:rsidR="005A4652">
        <w:rPr>
          <w:rFonts w:asciiTheme="majorHAnsi" w:hAnsiTheme="majorHAnsi" w:cstheme="majorHAnsi"/>
          <w:i/>
          <w:iCs/>
        </w:rPr>
        <w:t>…</w:t>
      </w:r>
      <w:r w:rsidR="005A4652" w:rsidRPr="005A4652">
        <w:rPr>
          <w:rFonts w:asciiTheme="majorHAnsi" w:hAnsiTheme="majorHAnsi" w:cstheme="majorHAnsi"/>
          <w:i/>
          <w:iCs/>
        </w:rPr>
        <w:t xml:space="preserve"> need to consider the question of whether there has been </w:t>
      </w:r>
      <w:r w:rsidR="005A4652" w:rsidRPr="005A4652">
        <w:rPr>
          <w:rFonts w:asciiTheme="majorHAnsi" w:hAnsiTheme="majorHAnsi" w:cstheme="majorHAnsi"/>
          <w:b/>
          <w:bCs/>
          <w:i/>
          <w:iCs/>
        </w:rPr>
        <w:t>a change of circumstances</w:t>
      </w:r>
      <w:r w:rsidR="005A4652" w:rsidRPr="005A4652">
        <w:rPr>
          <w:rFonts w:asciiTheme="majorHAnsi" w:hAnsiTheme="majorHAnsi" w:cstheme="majorHAnsi"/>
          <w:i/>
          <w:iCs/>
        </w:rPr>
        <w:t xml:space="preserve"> since the MPS order was granted and, if so, to apply the principles applicable to the determination of an application for MPS to those changed circumstances, namely </w:t>
      </w:r>
      <w:r w:rsidR="005A4652" w:rsidRPr="005A4652">
        <w:rPr>
          <w:rFonts w:asciiTheme="majorHAnsi" w:hAnsiTheme="majorHAnsi" w:cstheme="majorHAnsi"/>
          <w:b/>
          <w:bCs/>
          <w:i/>
          <w:iCs/>
        </w:rPr>
        <w:t>"reasonableness"</w:t>
      </w:r>
      <w:r w:rsidR="005A4652">
        <w:rPr>
          <w:rFonts w:asciiTheme="majorHAnsi" w:hAnsiTheme="majorHAnsi" w:cstheme="majorHAnsi"/>
          <w:i/>
          <w:iCs/>
        </w:rPr>
        <w:t>’</w:t>
      </w:r>
      <w:r w:rsidR="002E0E48">
        <w:rPr>
          <w:rFonts w:asciiTheme="majorHAnsi" w:hAnsiTheme="majorHAnsi" w:cstheme="majorHAnsi"/>
        </w:rPr>
        <w:t xml:space="preserve">. </w:t>
      </w:r>
    </w:p>
    <w:p w14:paraId="2048CBB6" w14:textId="77777777" w:rsidR="007276D7" w:rsidRDefault="007276D7" w:rsidP="005671C0">
      <w:pPr>
        <w:tabs>
          <w:tab w:val="left" w:pos="1843"/>
        </w:tabs>
        <w:jc w:val="both"/>
        <w:rPr>
          <w:rFonts w:asciiTheme="majorHAnsi" w:hAnsiTheme="majorHAnsi" w:cstheme="majorHAnsi"/>
        </w:rPr>
      </w:pPr>
    </w:p>
    <w:p w14:paraId="59A646E5" w14:textId="33DB226B" w:rsidR="005A4652" w:rsidRDefault="00BB662D" w:rsidP="005671C0">
      <w:pPr>
        <w:tabs>
          <w:tab w:val="left" w:pos="1843"/>
        </w:tabs>
        <w:jc w:val="both"/>
        <w:rPr>
          <w:rFonts w:asciiTheme="majorHAnsi" w:hAnsiTheme="majorHAnsi" w:cstheme="majorHAnsi"/>
        </w:rPr>
      </w:pPr>
      <w:r>
        <w:rPr>
          <w:rFonts w:asciiTheme="majorHAnsi" w:hAnsiTheme="majorHAnsi" w:cstheme="majorHAnsi"/>
        </w:rPr>
        <w:t>Applications to vary</w:t>
      </w:r>
      <w:r w:rsidR="00542AE2">
        <w:rPr>
          <w:rFonts w:asciiTheme="majorHAnsi" w:hAnsiTheme="majorHAnsi" w:cstheme="majorHAnsi"/>
        </w:rPr>
        <w:t xml:space="preserve"> or discharge</w:t>
      </w:r>
      <w:r>
        <w:rPr>
          <w:rFonts w:asciiTheme="majorHAnsi" w:hAnsiTheme="majorHAnsi" w:cstheme="majorHAnsi"/>
        </w:rPr>
        <w:t xml:space="preserve"> </w:t>
      </w:r>
      <w:r w:rsidR="007276D7">
        <w:rPr>
          <w:rFonts w:asciiTheme="majorHAnsi" w:hAnsiTheme="majorHAnsi" w:cstheme="majorHAnsi"/>
        </w:rPr>
        <w:t xml:space="preserve">MPS orders </w:t>
      </w:r>
      <w:r>
        <w:rPr>
          <w:rFonts w:asciiTheme="majorHAnsi" w:hAnsiTheme="majorHAnsi" w:cstheme="majorHAnsi"/>
        </w:rPr>
        <w:t>are governed by section 31 of the Act, which reads as follows:</w:t>
      </w:r>
    </w:p>
    <w:p w14:paraId="00A07973" w14:textId="77777777" w:rsidR="00BB662D" w:rsidRDefault="00BB662D" w:rsidP="005671C0">
      <w:pPr>
        <w:tabs>
          <w:tab w:val="left" w:pos="1843"/>
        </w:tabs>
        <w:jc w:val="both"/>
        <w:rPr>
          <w:rFonts w:asciiTheme="majorHAnsi" w:hAnsiTheme="majorHAnsi" w:cstheme="majorHAnsi"/>
        </w:rPr>
      </w:pPr>
    </w:p>
    <w:p w14:paraId="733D0042" w14:textId="628B517A" w:rsidR="005A4652" w:rsidRDefault="00BB662D" w:rsidP="00B1791B">
      <w:pPr>
        <w:tabs>
          <w:tab w:val="left" w:pos="1843"/>
        </w:tabs>
        <w:ind w:left="1080"/>
        <w:jc w:val="both"/>
        <w:rPr>
          <w:rFonts w:asciiTheme="majorHAnsi" w:hAnsiTheme="majorHAnsi" w:cstheme="majorHAnsi"/>
          <w:i/>
          <w:iCs/>
        </w:rPr>
      </w:pPr>
      <w:r w:rsidRPr="00BB662D">
        <w:rPr>
          <w:rFonts w:asciiTheme="majorHAnsi" w:hAnsiTheme="majorHAnsi" w:cstheme="majorHAnsi"/>
          <w:i/>
          <w:iCs/>
        </w:rPr>
        <w:lastRenderedPageBreak/>
        <w:t xml:space="preserve">In exercising the powers conferred by this section </w:t>
      </w:r>
      <w:r w:rsidRPr="00BB662D">
        <w:rPr>
          <w:rFonts w:asciiTheme="majorHAnsi" w:hAnsiTheme="majorHAnsi" w:cstheme="majorHAnsi"/>
          <w:b/>
          <w:bCs/>
          <w:i/>
          <w:iCs/>
        </w:rPr>
        <w:t>the court shall have regard to all the circumstances of the case</w:t>
      </w:r>
      <w:r w:rsidRPr="00BB662D">
        <w:rPr>
          <w:rFonts w:asciiTheme="majorHAnsi" w:hAnsiTheme="majorHAnsi" w:cstheme="majorHAnsi"/>
          <w:i/>
          <w:iCs/>
        </w:rPr>
        <w:t xml:space="preserve">, first consideration being given to the welfare while a minor of any child of the family who has not attained the age of eighteen, and the circumstances of the case shall include </w:t>
      </w:r>
      <w:r w:rsidRPr="00BB662D">
        <w:rPr>
          <w:rFonts w:asciiTheme="majorHAnsi" w:hAnsiTheme="majorHAnsi" w:cstheme="majorHAnsi"/>
          <w:b/>
          <w:bCs/>
          <w:i/>
          <w:iCs/>
        </w:rPr>
        <w:t>any change in any of the matters to which the court was required to have regard when making the order to which the application relates</w:t>
      </w:r>
      <w:r w:rsidR="00B1791B">
        <w:rPr>
          <w:rFonts w:asciiTheme="majorHAnsi" w:hAnsiTheme="majorHAnsi" w:cstheme="majorHAnsi"/>
          <w:i/>
          <w:iCs/>
        </w:rPr>
        <w:t xml:space="preserve">. </w:t>
      </w:r>
    </w:p>
    <w:p w14:paraId="0529D5E2" w14:textId="77777777" w:rsidR="007276D7" w:rsidRPr="00B1791B" w:rsidRDefault="007276D7" w:rsidP="00B1791B">
      <w:pPr>
        <w:tabs>
          <w:tab w:val="left" w:pos="1843"/>
        </w:tabs>
        <w:ind w:left="1080"/>
        <w:jc w:val="both"/>
        <w:rPr>
          <w:rFonts w:asciiTheme="majorHAnsi" w:hAnsiTheme="majorHAnsi" w:cstheme="majorHAnsi"/>
          <w:i/>
          <w:iCs/>
        </w:rPr>
      </w:pPr>
    </w:p>
    <w:p w14:paraId="7A305AB9" w14:textId="6A8C1394" w:rsidR="007276D7" w:rsidRDefault="00814254" w:rsidP="005671C0">
      <w:pPr>
        <w:tabs>
          <w:tab w:val="left" w:pos="1843"/>
        </w:tabs>
        <w:jc w:val="both"/>
        <w:rPr>
          <w:rFonts w:asciiTheme="majorHAnsi" w:hAnsiTheme="majorHAnsi" w:cstheme="majorHAnsi"/>
        </w:rPr>
      </w:pPr>
      <w:r>
        <w:rPr>
          <w:rFonts w:asciiTheme="majorHAnsi" w:hAnsiTheme="majorHAnsi" w:cstheme="majorHAnsi"/>
        </w:rPr>
        <w:t>The</w:t>
      </w:r>
      <w:r w:rsidR="00BB662D">
        <w:rPr>
          <w:rFonts w:asciiTheme="majorHAnsi" w:hAnsiTheme="majorHAnsi" w:cstheme="majorHAnsi"/>
        </w:rPr>
        <w:t xml:space="preserve"> </w:t>
      </w:r>
      <w:r w:rsidR="00BB662D">
        <w:rPr>
          <w:rFonts w:asciiTheme="majorHAnsi" w:hAnsiTheme="majorHAnsi" w:cstheme="majorHAnsi"/>
          <w:i/>
          <w:iCs/>
        </w:rPr>
        <w:t>‘reasonableness’</w:t>
      </w:r>
      <w:r w:rsidR="00BB662D">
        <w:rPr>
          <w:rFonts w:asciiTheme="majorHAnsi" w:hAnsiTheme="majorHAnsi" w:cstheme="majorHAnsi"/>
        </w:rPr>
        <w:t xml:space="preserve"> test </w:t>
      </w:r>
      <w:r>
        <w:rPr>
          <w:rFonts w:asciiTheme="majorHAnsi" w:hAnsiTheme="majorHAnsi" w:cstheme="majorHAnsi"/>
        </w:rPr>
        <w:t>is explained</w:t>
      </w:r>
      <w:r w:rsidR="00BB662D">
        <w:rPr>
          <w:rFonts w:asciiTheme="majorHAnsi" w:hAnsiTheme="majorHAnsi" w:cstheme="majorHAnsi"/>
        </w:rPr>
        <w:t xml:space="preserve"> in </w:t>
      </w:r>
      <w:r w:rsidR="00BB662D" w:rsidRPr="00B1791B">
        <w:rPr>
          <w:rFonts w:asciiTheme="majorHAnsi" w:hAnsiTheme="majorHAnsi" w:cstheme="majorHAnsi"/>
          <w:i/>
          <w:iCs/>
        </w:rPr>
        <w:t xml:space="preserve">TL v ML &amp; </w:t>
      </w:r>
      <w:proofErr w:type="spellStart"/>
      <w:r w:rsidR="00BB662D" w:rsidRPr="00B1791B">
        <w:rPr>
          <w:rFonts w:asciiTheme="majorHAnsi" w:hAnsiTheme="majorHAnsi" w:cstheme="majorHAnsi"/>
          <w:i/>
          <w:iCs/>
        </w:rPr>
        <w:t>Ors</w:t>
      </w:r>
      <w:proofErr w:type="spellEnd"/>
      <w:r>
        <w:rPr>
          <w:rFonts w:asciiTheme="majorHAnsi" w:hAnsiTheme="majorHAnsi" w:cstheme="majorHAnsi"/>
          <w:i/>
          <w:iCs/>
        </w:rPr>
        <w:t xml:space="preserve"> </w:t>
      </w:r>
      <w:r>
        <w:rPr>
          <w:rFonts w:asciiTheme="majorHAnsi" w:hAnsiTheme="majorHAnsi" w:cstheme="majorHAnsi"/>
        </w:rPr>
        <w:t>(‘</w:t>
      </w:r>
      <w:r>
        <w:rPr>
          <w:rFonts w:asciiTheme="majorHAnsi" w:hAnsiTheme="majorHAnsi" w:cstheme="majorHAnsi"/>
          <w:i/>
          <w:iCs/>
        </w:rPr>
        <w:t>TL v ML’</w:t>
      </w:r>
      <w:r>
        <w:rPr>
          <w:rFonts w:asciiTheme="majorHAnsi" w:hAnsiTheme="majorHAnsi" w:cstheme="majorHAnsi"/>
        </w:rPr>
        <w:t>)</w:t>
      </w:r>
      <w:r w:rsidR="00B1791B">
        <w:rPr>
          <w:rStyle w:val="FootnoteReference"/>
          <w:rFonts w:asciiTheme="majorHAnsi" w:hAnsiTheme="majorHAnsi" w:cstheme="majorHAnsi"/>
          <w:i/>
          <w:iCs/>
        </w:rPr>
        <w:footnoteReference w:id="1"/>
      </w:r>
      <w:r w:rsidR="00B1791B">
        <w:rPr>
          <w:rFonts w:asciiTheme="majorHAnsi" w:hAnsiTheme="majorHAnsi" w:cstheme="majorHAnsi"/>
        </w:rPr>
        <w:t xml:space="preserve"> </w:t>
      </w:r>
      <w:r w:rsidR="00BB662D">
        <w:rPr>
          <w:rFonts w:asciiTheme="majorHAnsi" w:hAnsiTheme="majorHAnsi" w:cstheme="majorHAnsi"/>
        </w:rPr>
        <w:t xml:space="preserve">where Nicholas Mostyn KC (as he was then) lays out the law for </w:t>
      </w:r>
      <w:r w:rsidR="00BB662D">
        <w:rPr>
          <w:rFonts w:asciiTheme="majorHAnsi" w:hAnsiTheme="majorHAnsi" w:cstheme="majorHAnsi"/>
          <w:i/>
          <w:iCs/>
        </w:rPr>
        <w:t xml:space="preserve">making </w:t>
      </w:r>
      <w:r w:rsidR="00BB662D" w:rsidRPr="00542AE2">
        <w:rPr>
          <w:rFonts w:asciiTheme="majorHAnsi" w:hAnsiTheme="majorHAnsi" w:cstheme="majorHAnsi"/>
        </w:rPr>
        <w:t>an MPS award</w:t>
      </w:r>
      <w:r w:rsidR="00BB662D">
        <w:rPr>
          <w:rFonts w:asciiTheme="majorHAnsi" w:hAnsiTheme="majorHAnsi" w:cstheme="majorHAnsi"/>
        </w:rPr>
        <w:t xml:space="preserve"> </w:t>
      </w:r>
      <w:r w:rsidR="00B1791B">
        <w:rPr>
          <w:rFonts w:asciiTheme="majorHAnsi" w:hAnsiTheme="majorHAnsi" w:cstheme="majorHAnsi"/>
        </w:rPr>
        <w:t xml:space="preserve">and </w:t>
      </w:r>
      <w:r w:rsidR="00542AE2">
        <w:rPr>
          <w:rFonts w:asciiTheme="majorHAnsi" w:hAnsiTheme="majorHAnsi" w:cstheme="majorHAnsi"/>
        </w:rPr>
        <w:t>explains</w:t>
      </w:r>
      <w:r w:rsidR="00B1791B">
        <w:rPr>
          <w:rFonts w:asciiTheme="majorHAnsi" w:hAnsiTheme="majorHAnsi" w:cstheme="majorHAnsi"/>
        </w:rPr>
        <w:t xml:space="preserve"> the term </w:t>
      </w:r>
      <w:r w:rsidR="00542AE2">
        <w:rPr>
          <w:rFonts w:asciiTheme="majorHAnsi" w:hAnsiTheme="majorHAnsi" w:cstheme="majorHAnsi"/>
        </w:rPr>
        <w:t>that appears as the basis of making an order at</w:t>
      </w:r>
      <w:r w:rsidR="00B1791B">
        <w:rPr>
          <w:rFonts w:asciiTheme="majorHAnsi" w:hAnsiTheme="majorHAnsi" w:cstheme="majorHAnsi"/>
        </w:rPr>
        <w:t xml:space="preserve"> section 22 of the Act</w:t>
      </w:r>
      <w:r w:rsidR="00542AE2">
        <w:rPr>
          <w:rFonts w:asciiTheme="majorHAnsi" w:hAnsiTheme="majorHAnsi" w:cstheme="majorHAnsi"/>
        </w:rPr>
        <w:t>. T</w:t>
      </w:r>
      <w:r w:rsidR="00BB662D">
        <w:rPr>
          <w:rFonts w:asciiTheme="majorHAnsi" w:hAnsiTheme="majorHAnsi" w:cstheme="majorHAnsi"/>
        </w:rPr>
        <w:t>his</w:t>
      </w:r>
      <w:r w:rsidR="00542AE2">
        <w:rPr>
          <w:rFonts w:asciiTheme="majorHAnsi" w:hAnsiTheme="majorHAnsi" w:cstheme="majorHAnsi"/>
        </w:rPr>
        <w:t xml:space="preserve"> discussion</w:t>
      </w:r>
      <w:r w:rsidR="00BB662D">
        <w:rPr>
          <w:rFonts w:asciiTheme="majorHAnsi" w:hAnsiTheme="majorHAnsi" w:cstheme="majorHAnsi"/>
        </w:rPr>
        <w:t xml:space="preserve"> is cited by Macdonald J in the judgment from the June hearing at </w:t>
      </w:r>
      <w:r w:rsidR="00B1791B">
        <w:rPr>
          <w:rFonts w:asciiTheme="majorHAnsi" w:hAnsiTheme="majorHAnsi" w:cstheme="majorHAnsi"/>
        </w:rPr>
        <w:t xml:space="preserve">[42], which is </w:t>
      </w:r>
      <w:r w:rsidR="007276D7">
        <w:rPr>
          <w:rFonts w:asciiTheme="majorHAnsi" w:hAnsiTheme="majorHAnsi" w:cstheme="majorHAnsi"/>
        </w:rPr>
        <w:t xml:space="preserve">in turn </w:t>
      </w:r>
      <w:r w:rsidR="00B1791B">
        <w:rPr>
          <w:rFonts w:asciiTheme="majorHAnsi" w:hAnsiTheme="majorHAnsi" w:cstheme="majorHAnsi"/>
        </w:rPr>
        <w:t xml:space="preserve">referred to </w:t>
      </w:r>
      <w:r w:rsidR="007276D7">
        <w:rPr>
          <w:rFonts w:asciiTheme="majorHAnsi" w:hAnsiTheme="majorHAnsi" w:cstheme="majorHAnsi"/>
        </w:rPr>
        <w:t>in the December judgment</w:t>
      </w:r>
      <w:r w:rsidR="00B1791B">
        <w:rPr>
          <w:rFonts w:asciiTheme="majorHAnsi" w:hAnsiTheme="majorHAnsi" w:cstheme="majorHAnsi"/>
        </w:rPr>
        <w:t xml:space="preserve">, </w:t>
      </w:r>
      <w:r w:rsidR="00B1791B">
        <w:rPr>
          <w:rFonts w:asciiTheme="majorHAnsi" w:hAnsiTheme="majorHAnsi" w:cstheme="majorHAnsi"/>
          <w:i/>
          <w:iCs/>
        </w:rPr>
        <w:t>‘t</w:t>
      </w:r>
      <w:r w:rsidR="00B1791B" w:rsidRPr="00B1791B">
        <w:rPr>
          <w:rFonts w:asciiTheme="majorHAnsi" w:hAnsiTheme="majorHAnsi" w:cstheme="majorHAnsi"/>
          <w:i/>
          <w:iCs/>
        </w:rPr>
        <w:t>he law governing orders for maintenance pending suit to meet immediate need is set out in my July judgment</w:t>
      </w:r>
      <w:r w:rsidR="00B1791B">
        <w:rPr>
          <w:rFonts w:asciiTheme="majorHAnsi" w:hAnsiTheme="majorHAnsi" w:cstheme="majorHAnsi"/>
          <w:i/>
          <w:iCs/>
        </w:rPr>
        <w:t>’</w:t>
      </w:r>
      <w:r w:rsidR="00B1791B">
        <w:rPr>
          <w:rFonts w:asciiTheme="majorHAnsi" w:hAnsiTheme="majorHAnsi" w:cstheme="majorHAnsi"/>
        </w:rPr>
        <w:t xml:space="preserve"> [29]. </w:t>
      </w:r>
    </w:p>
    <w:p w14:paraId="4E44BB9E" w14:textId="77777777" w:rsidR="007276D7" w:rsidRDefault="007276D7" w:rsidP="005671C0">
      <w:pPr>
        <w:tabs>
          <w:tab w:val="left" w:pos="1843"/>
        </w:tabs>
        <w:jc w:val="both"/>
        <w:rPr>
          <w:rFonts w:asciiTheme="majorHAnsi" w:hAnsiTheme="majorHAnsi" w:cstheme="majorHAnsi"/>
        </w:rPr>
      </w:pPr>
    </w:p>
    <w:p w14:paraId="0FA83365" w14:textId="2235FBB4" w:rsidR="00B1791B" w:rsidRDefault="00B1791B" w:rsidP="005671C0">
      <w:pPr>
        <w:tabs>
          <w:tab w:val="left" w:pos="1843"/>
        </w:tabs>
        <w:jc w:val="both"/>
        <w:rPr>
          <w:rFonts w:asciiTheme="majorHAnsi" w:hAnsiTheme="majorHAnsi" w:cstheme="majorHAnsi"/>
        </w:rPr>
      </w:pPr>
      <w:r>
        <w:rPr>
          <w:rFonts w:asciiTheme="majorHAnsi" w:hAnsiTheme="majorHAnsi" w:cstheme="majorHAnsi"/>
        </w:rPr>
        <w:t xml:space="preserve">In short, </w:t>
      </w:r>
      <w:r>
        <w:rPr>
          <w:rFonts w:asciiTheme="majorHAnsi" w:hAnsiTheme="majorHAnsi" w:cstheme="majorHAnsi"/>
          <w:i/>
          <w:iCs/>
        </w:rPr>
        <w:t>‘reasonableness’</w:t>
      </w:r>
      <w:r>
        <w:rPr>
          <w:rFonts w:asciiTheme="majorHAnsi" w:hAnsiTheme="majorHAnsi" w:cstheme="majorHAnsi"/>
        </w:rPr>
        <w:t xml:space="preserve"> seems not to be the correct test for </w:t>
      </w:r>
      <w:r w:rsidR="00542AE2">
        <w:rPr>
          <w:rFonts w:asciiTheme="majorHAnsi" w:hAnsiTheme="majorHAnsi" w:cstheme="majorHAnsi"/>
        </w:rPr>
        <w:t>varying or discharging MPS orders</w:t>
      </w:r>
      <w:r w:rsidR="007276D7">
        <w:rPr>
          <w:rFonts w:asciiTheme="majorHAnsi" w:hAnsiTheme="majorHAnsi" w:cstheme="majorHAnsi"/>
        </w:rPr>
        <w:t xml:space="preserve">. It is the test for </w:t>
      </w:r>
      <w:r>
        <w:rPr>
          <w:rFonts w:asciiTheme="majorHAnsi" w:hAnsiTheme="majorHAnsi" w:cstheme="majorHAnsi"/>
        </w:rPr>
        <w:t xml:space="preserve">the </w:t>
      </w:r>
      <w:r w:rsidRPr="00B1791B">
        <w:rPr>
          <w:rFonts w:asciiTheme="majorHAnsi" w:hAnsiTheme="majorHAnsi" w:cstheme="majorHAnsi"/>
          <w:i/>
          <w:iCs/>
        </w:rPr>
        <w:t>making</w:t>
      </w:r>
      <w:r>
        <w:rPr>
          <w:rFonts w:asciiTheme="majorHAnsi" w:hAnsiTheme="majorHAnsi" w:cstheme="majorHAnsi"/>
        </w:rPr>
        <w:t xml:space="preserve"> of an MPS order</w:t>
      </w:r>
      <w:r w:rsidR="00387933">
        <w:rPr>
          <w:rFonts w:asciiTheme="majorHAnsi" w:hAnsiTheme="majorHAnsi" w:cstheme="majorHAnsi"/>
        </w:rPr>
        <w:t xml:space="preserve">. </w:t>
      </w:r>
    </w:p>
    <w:p w14:paraId="309F0358" w14:textId="77777777" w:rsidR="00B1791B" w:rsidRDefault="00B1791B" w:rsidP="005671C0">
      <w:pPr>
        <w:tabs>
          <w:tab w:val="left" w:pos="1843"/>
        </w:tabs>
        <w:jc w:val="both"/>
        <w:rPr>
          <w:rFonts w:asciiTheme="majorHAnsi" w:hAnsiTheme="majorHAnsi" w:cstheme="majorHAnsi"/>
        </w:rPr>
      </w:pPr>
    </w:p>
    <w:p w14:paraId="1902E5F6" w14:textId="65B0498F" w:rsidR="007276D7" w:rsidRPr="00B1791B" w:rsidRDefault="00B1791B" w:rsidP="005671C0">
      <w:pPr>
        <w:tabs>
          <w:tab w:val="left" w:pos="1843"/>
        </w:tabs>
        <w:jc w:val="both"/>
        <w:rPr>
          <w:rFonts w:asciiTheme="majorHAnsi" w:hAnsiTheme="majorHAnsi" w:cstheme="majorHAnsi"/>
        </w:rPr>
      </w:pPr>
      <w:r>
        <w:rPr>
          <w:rFonts w:asciiTheme="majorHAnsi" w:hAnsiTheme="majorHAnsi" w:cstheme="majorHAnsi"/>
        </w:rPr>
        <w:t xml:space="preserve">The judge did not lay out the law in respect of the H’s application to be released from an undertaking but, for completeness, it is noted that the relevant law is laid out in </w:t>
      </w:r>
      <w:r w:rsidRPr="00B1791B">
        <w:rPr>
          <w:rFonts w:asciiTheme="majorHAnsi" w:hAnsiTheme="majorHAnsi" w:cstheme="majorHAnsi"/>
          <w:i/>
          <w:iCs/>
        </w:rPr>
        <w:t>Birch v Birch</w:t>
      </w:r>
      <w:r>
        <w:rPr>
          <w:rStyle w:val="FootnoteReference"/>
          <w:rFonts w:asciiTheme="majorHAnsi" w:hAnsiTheme="majorHAnsi" w:cstheme="majorHAnsi"/>
        </w:rPr>
        <w:footnoteReference w:id="2"/>
      </w:r>
      <w:r>
        <w:rPr>
          <w:rFonts w:asciiTheme="majorHAnsi" w:hAnsiTheme="majorHAnsi" w:cstheme="majorHAnsi"/>
        </w:rPr>
        <w:t xml:space="preserve"> and </w:t>
      </w:r>
      <w:r>
        <w:rPr>
          <w:rFonts w:asciiTheme="majorHAnsi" w:hAnsiTheme="majorHAnsi" w:cstheme="majorHAnsi"/>
          <w:i/>
          <w:iCs/>
        </w:rPr>
        <w:t>A v A (</w:t>
      </w:r>
      <w:r w:rsidRPr="00B1791B">
        <w:rPr>
          <w:rFonts w:asciiTheme="majorHAnsi" w:hAnsiTheme="majorHAnsi" w:cstheme="majorHAnsi"/>
          <w:i/>
          <w:iCs/>
        </w:rPr>
        <w:t>Financial Remedies: Variation of Undertaking</w:t>
      </w:r>
      <w:r>
        <w:rPr>
          <w:rFonts w:asciiTheme="majorHAnsi" w:hAnsiTheme="majorHAnsi" w:cstheme="majorHAnsi"/>
          <w:i/>
          <w:iCs/>
        </w:rPr>
        <w:t>)</w:t>
      </w:r>
      <w:r>
        <w:rPr>
          <w:rFonts w:asciiTheme="majorHAnsi" w:hAnsiTheme="majorHAnsi" w:cstheme="majorHAnsi"/>
        </w:rPr>
        <w:t>,</w:t>
      </w:r>
      <w:r>
        <w:rPr>
          <w:rStyle w:val="FootnoteReference"/>
          <w:rFonts w:asciiTheme="majorHAnsi" w:hAnsiTheme="majorHAnsi" w:cstheme="majorHAnsi"/>
        </w:rPr>
        <w:footnoteReference w:id="3"/>
      </w:r>
      <w:r>
        <w:rPr>
          <w:rFonts w:asciiTheme="majorHAnsi" w:hAnsiTheme="majorHAnsi" w:cstheme="majorHAnsi"/>
        </w:rPr>
        <w:t xml:space="preserve"> namely that </w:t>
      </w:r>
      <w:r w:rsidRPr="00B1791B">
        <w:rPr>
          <w:rFonts w:asciiTheme="majorHAnsi" w:hAnsiTheme="majorHAnsi" w:cstheme="majorHAnsi"/>
        </w:rPr>
        <w:t xml:space="preserve">a </w:t>
      </w:r>
      <w:r w:rsidRPr="00B1791B">
        <w:rPr>
          <w:rFonts w:asciiTheme="majorHAnsi" w:hAnsiTheme="majorHAnsi" w:cstheme="majorHAnsi"/>
          <w:b/>
          <w:bCs/>
        </w:rPr>
        <w:t xml:space="preserve">significant change of circumstances </w:t>
      </w:r>
      <w:r>
        <w:rPr>
          <w:rFonts w:asciiTheme="majorHAnsi" w:hAnsiTheme="majorHAnsi" w:cstheme="majorHAnsi"/>
        </w:rPr>
        <w:t>must have occurred in order to open the door to</w:t>
      </w:r>
      <w:r w:rsidR="007276D7">
        <w:rPr>
          <w:rFonts w:asciiTheme="majorHAnsi" w:hAnsiTheme="majorHAnsi" w:cstheme="majorHAnsi"/>
        </w:rPr>
        <w:t xml:space="preserve"> consider </w:t>
      </w:r>
      <w:r w:rsidR="00387933">
        <w:rPr>
          <w:rFonts w:asciiTheme="majorHAnsi" w:hAnsiTheme="majorHAnsi" w:cstheme="majorHAnsi"/>
        </w:rPr>
        <w:t>this</w:t>
      </w:r>
      <w:r w:rsidRPr="00B1791B">
        <w:rPr>
          <w:rFonts w:asciiTheme="majorHAnsi" w:hAnsiTheme="majorHAnsi" w:cstheme="majorHAnsi"/>
        </w:rPr>
        <w:t xml:space="preserve"> change of circumstances in the light of </w:t>
      </w:r>
      <w:r w:rsidRPr="007276D7">
        <w:rPr>
          <w:rFonts w:asciiTheme="majorHAnsi" w:hAnsiTheme="majorHAnsi" w:cstheme="majorHAnsi"/>
          <w:b/>
          <w:bCs/>
        </w:rPr>
        <w:t>all other relevant factors</w:t>
      </w:r>
      <w:r w:rsidRPr="00B1791B">
        <w:rPr>
          <w:rFonts w:asciiTheme="majorHAnsi" w:hAnsiTheme="majorHAnsi" w:cstheme="majorHAnsi"/>
        </w:rPr>
        <w:t>.</w:t>
      </w:r>
    </w:p>
    <w:p w14:paraId="1B7A2E7E" w14:textId="77777777" w:rsidR="00B1791B" w:rsidRDefault="00B1791B" w:rsidP="005671C0">
      <w:pPr>
        <w:tabs>
          <w:tab w:val="left" w:pos="1843"/>
        </w:tabs>
        <w:jc w:val="both"/>
        <w:rPr>
          <w:rFonts w:asciiTheme="majorHAnsi" w:hAnsiTheme="majorHAnsi" w:cstheme="majorHAnsi"/>
        </w:rPr>
      </w:pPr>
    </w:p>
    <w:p w14:paraId="3E2D3ABA" w14:textId="60B34B97" w:rsidR="00B1791B" w:rsidRDefault="00B1791B" w:rsidP="005671C0">
      <w:pPr>
        <w:tabs>
          <w:tab w:val="left" w:pos="1843"/>
        </w:tabs>
        <w:jc w:val="both"/>
        <w:rPr>
          <w:rFonts w:asciiTheme="majorHAnsi" w:hAnsiTheme="majorHAnsi" w:cstheme="majorHAnsi"/>
          <w:b/>
          <w:bCs/>
        </w:rPr>
      </w:pPr>
      <w:r>
        <w:rPr>
          <w:rFonts w:asciiTheme="majorHAnsi" w:hAnsiTheme="majorHAnsi" w:cstheme="majorHAnsi"/>
          <w:b/>
          <w:bCs/>
        </w:rPr>
        <w:t xml:space="preserve">The </w:t>
      </w:r>
      <w:r w:rsidR="00387933">
        <w:rPr>
          <w:rFonts w:asciiTheme="majorHAnsi" w:hAnsiTheme="majorHAnsi" w:cstheme="majorHAnsi"/>
          <w:b/>
          <w:bCs/>
        </w:rPr>
        <w:t xml:space="preserve">Orders Made </w:t>
      </w:r>
      <w:r>
        <w:rPr>
          <w:rFonts w:asciiTheme="majorHAnsi" w:hAnsiTheme="majorHAnsi" w:cstheme="majorHAnsi"/>
          <w:b/>
          <w:bCs/>
        </w:rPr>
        <w:t xml:space="preserve"> </w:t>
      </w:r>
    </w:p>
    <w:p w14:paraId="31CBC633" w14:textId="77777777" w:rsidR="00B1791B" w:rsidRPr="00B1791B" w:rsidRDefault="00B1791B" w:rsidP="005671C0">
      <w:pPr>
        <w:tabs>
          <w:tab w:val="left" w:pos="1843"/>
        </w:tabs>
        <w:jc w:val="both"/>
        <w:rPr>
          <w:rFonts w:asciiTheme="majorHAnsi" w:hAnsiTheme="majorHAnsi" w:cstheme="majorHAnsi"/>
          <w:b/>
          <w:bCs/>
        </w:rPr>
      </w:pPr>
    </w:p>
    <w:p w14:paraId="2CC20D5B" w14:textId="5C8125AE" w:rsidR="007276D7" w:rsidRDefault="007276D7" w:rsidP="005671C0">
      <w:pPr>
        <w:tabs>
          <w:tab w:val="left" w:pos="1843"/>
        </w:tabs>
        <w:jc w:val="both"/>
        <w:rPr>
          <w:rFonts w:asciiTheme="majorHAnsi" w:hAnsiTheme="majorHAnsi" w:cstheme="majorHAnsi"/>
        </w:rPr>
      </w:pPr>
      <w:r>
        <w:rPr>
          <w:rFonts w:asciiTheme="majorHAnsi" w:hAnsiTheme="majorHAnsi" w:cstheme="majorHAnsi"/>
        </w:rPr>
        <w:t xml:space="preserve">The freezing order was </w:t>
      </w:r>
      <w:proofErr w:type="gramStart"/>
      <w:r>
        <w:rPr>
          <w:rFonts w:asciiTheme="majorHAnsi" w:hAnsiTheme="majorHAnsi" w:cstheme="majorHAnsi"/>
        </w:rPr>
        <w:t>discharged</w:t>
      </w:r>
      <w:proofErr w:type="gramEnd"/>
      <w:r>
        <w:rPr>
          <w:rFonts w:asciiTheme="majorHAnsi" w:hAnsiTheme="majorHAnsi" w:cstheme="majorHAnsi"/>
        </w:rPr>
        <w:t xml:space="preserve"> and H was permitted to borrow against the life insurance policy in order to discharge his obligations under the MPS and LSPO as well as meet his own expenses. </w:t>
      </w:r>
    </w:p>
    <w:p w14:paraId="57DADF12" w14:textId="77777777" w:rsidR="007276D7" w:rsidRDefault="007276D7" w:rsidP="005671C0">
      <w:pPr>
        <w:tabs>
          <w:tab w:val="left" w:pos="1843"/>
        </w:tabs>
        <w:jc w:val="both"/>
        <w:rPr>
          <w:rFonts w:asciiTheme="majorHAnsi" w:hAnsiTheme="majorHAnsi" w:cstheme="majorHAnsi"/>
        </w:rPr>
      </w:pPr>
    </w:p>
    <w:p w14:paraId="31082DC8" w14:textId="6463CD9D" w:rsidR="007276D7" w:rsidRDefault="007276D7" w:rsidP="005671C0">
      <w:pPr>
        <w:tabs>
          <w:tab w:val="left" w:pos="1843"/>
        </w:tabs>
        <w:jc w:val="both"/>
        <w:rPr>
          <w:rFonts w:asciiTheme="majorHAnsi" w:hAnsiTheme="majorHAnsi" w:cstheme="majorHAnsi"/>
        </w:rPr>
      </w:pPr>
      <w:r>
        <w:rPr>
          <w:rFonts w:asciiTheme="majorHAnsi" w:hAnsiTheme="majorHAnsi" w:cstheme="majorHAnsi"/>
        </w:rPr>
        <w:t xml:space="preserve">The MPS was varied </w:t>
      </w:r>
      <w:proofErr w:type="gramStart"/>
      <w:r>
        <w:rPr>
          <w:rFonts w:asciiTheme="majorHAnsi" w:hAnsiTheme="majorHAnsi" w:cstheme="majorHAnsi"/>
        </w:rPr>
        <w:t>in order to</w:t>
      </w:r>
      <w:proofErr w:type="gramEnd"/>
      <w:r>
        <w:rPr>
          <w:rFonts w:asciiTheme="majorHAnsi" w:hAnsiTheme="majorHAnsi" w:cstheme="majorHAnsi"/>
        </w:rPr>
        <w:t xml:space="preserve"> remove the provisions dealing with rent</w:t>
      </w:r>
      <w:r w:rsidR="00877A0C">
        <w:rPr>
          <w:rFonts w:asciiTheme="majorHAnsi" w:hAnsiTheme="majorHAnsi" w:cstheme="majorHAnsi"/>
        </w:rPr>
        <w:t xml:space="preserve"> as the provision could not be justified in circumstances where the interim need it was made to address no longer existed. </w:t>
      </w:r>
      <w:r>
        <w:rPr>
          <w:rFonts w:asciiTheme="majorHAnsi" w:hAnsiTheme="majorHAnsi" w:cstheme="majorHAnsi"/>
        </w:rPr>
        <w:t xml:space="preserve"> </w:t>
      </w:r>
    </w:p>
    <w:p w14:paraId="76D54582" w14:textId="77777777" w:rsidR="007276D7" w:rsidRDefault="007276D7" w:rsidP="005671C0">
      <w:pPr>
        <w:tabs>
          <w:tab w:val="left" w:pos="1843"/>
        </w:tabs>
        <w:jc w:val="both"/>
        <w:rPr>
          <w:rFonts w:asciiTheme="majorHAnsi" w:hAnsiTheme="majorHAnsi" w:cstheme="majorHAnsi"/>
        </w:rPr>
      </w:pPr>
    </w:p>
    <w:p w14:paraId="05DABAC4" w14:textId="4E2E1A73" w:rsidR="007276D7" w:rsidRDefault="007276D7" w:rsidP="005671C0">
      <w:pPr>
        <w:tabs>
          <w:tab w:val="left" w:pos="1843"/>
        </w:tabs>
        <w:jc w:val="both"/>
        <w:rPr>
          <w:rFonts w:asciiTheme="majorHAnsi" w:hAnsiTheme="majorHAnsi" w:cstheme="majorHAnsi"/>
        </w:rPr>
      </w:pPr>
      <w:r>
        <w:rPr>
          <w:rFonts w:asciiTheme="majorHAnsi" w:hAnsiTheme="majorHAnsi" w:cstheme="majorHAnsi"/>
        </w:rPr>
        <w:t>The pa</w:t>
      </w:r>
      <w:r w:rsidR="00387933">
        <w:rPr>
          <w:rFonts w:asciiTheme="majorHAnsi" w:hAnsiTheme="majorHAnsi" w:cstheme="majorHAnsi"/>
        </w:rPr>
        <w:t xml:space="preserve">rties were released from the undertaking in respect of the bank account and rental income from the Wyoming property not occupied by the W and the New York properties was to be shared equally. </w:t>
      </w:r>
    </w:p>
    <w:p w14:paraId="7FD7DEF5" w14:textId="77777777" w:rsidR="00387933" w:rsidRDefault="00387933" w:rsidP="005671C0">
      <w:pPr>
        <w:tabs>
          <w:tab w:val="left" w:pos="1843"/>
        </w:tabs>
        <w:jc w:val="both"/>
        <w:rPr>
          <w:rFonts w:asciiTheme="majorHAnsi" w:hAnsiTheme="majorHAnsi" w:cstheme="majorHAnsi"/>
        </w:rPr>
      </w:pPr>
    </w:p>
    <w:p w14:paraId="3BB7CE33" w14:textId="36DF1BDA" w:rsidR="00387933" w:rsidRDefault="00387933" w:rsidP="005671C0">
      <w:pPr>
        <w:tabs>
          <w:tab w:val="left" w:pos="1843"/>
        </w:tabs>
        <w:jc w:val="both"/>
        <w:rPr>
          <w:rFonts w:asciiTheme="majorHAnsi" w:hAnsiTheme="majorHAnsi" w:cstheme="majorHAnsi"/>
        </w:rPr>
      </w:pPr>
      <w:r>
        <w:rPr>
          <w:rFonts w:asciiTheme="majorHAnsi" w:hAnsiTheme="majorHAnsi" w:cstheme="majorHAnsi"/>
        </w:rPr>
        <w:t xml:space="preserve">H’s applications for the W to vacate the other Wyoming property and for discharge of the MPS and LSP orders were dismissed. </w:t>
      </w:r>
    </w:p>
    <w:p w14:paraId="2BD8814F" w14:textId="77777777" w:rsidR="00387933" w:rsidRDefault="00387933" w:rsidP="005671C0">
      <w:pPr>
        <w:tabs>
          <w:tab w:val="left" w:pos="1843"/>
        </w:tabs>
        <w:jc w:val="both"/>
        <w:rPr>
          <w:rFonts w:asciiTheme="majorHAnsi" w:hAnsiTheme="majorHAnsi" w:cstheme="majorHAnsi"/>
        </w:rPr>
      </w:pPr>
    </w:p>
    <w:p w14:paraId="1C186AFC" w14:textId="2F64C6B3" w:rsidR="00387933" w:rsidRPr="00542AE2" w:rsidRDefault="00387933" w:rsidP="005671C0">
      <w:pPr>
        <w:tabs>
          <w:tab w:val="left" w:pos="1843"/>
        </w:tabs>
        <w:jc w:val="both"/>
        <w:rPr>
          <w:rFonts w:asciiTheme="majorHAnsi" w:hAnsiTheme="majorHAnsi" w:cstheme="majorHAnsi"/>
        </w:rPr>
      </w:pPr>
      <w:r>
        <w:rPr>
          <w:rFonts w:asciiTheme="majorHAnsi" w:hAnsiTheme="majorHAnsi" w:cstheme="majorHAnsi"/>
        </w:rPr>
        <w:lastRenderedPageBreak/>
        <w:t>Reasoning for the</w:t>
      </w:r>
      <w:r w:rsidR="00446103">
        <w:rPr>
          <w:rFonts w:asciiTheme="majorHAnsi" w:hAnsiTheme="majorHAnsi" w:cstheme="majorHAnsi"/>
        </w:rPr>
        <w:t xml:space="preserve">se orders </w:t>
      </w:r>
      <w:r>
        <w:rPr>
          <w:rFonts w:asciiTheme="majorHAnsi" w:hAnsiTheme="majorHAnsi" w:cstheme="majorHAnsi"/>
        </w:rPr>
        <w:t xml:space="preserve">is given at [36]-[50]. </w:t>
      </w:r>
      <w:r w:rsidR="00446103">
        <w:rPr>
          <w:rFonts w:asciiTheme="majorHAnsi" w:hAnsiTheme="majorHAnsi" w:cstheme="majorHAnsi"/>
        </w:rPr>
        <w:t xml:space="preserve">To summarise, </w:t>
      </w:r>
      <w:r w:rsidR="00542AE2">
        <w:rPr>
          <w:rFonts w:asciiTheme="majorHAnsi" w:hAnsiTheme="majorHAnsi" w:cstheme="majorHAnsi"/>
        </w:rPr>
        <w:t xml:space="preserve">in relation to the LSPO, the judge was </w:t>
      </w:r>
      <w:r w:rsidR="00542AE2">
        <w:rPr>
          <w:rFonts w:asciiTheme="majorHAnsi" w:hAnsiTheme="majorHAnsi" w:cstheme="majorHAnsi"/>
          <w:i/>
          <w:iCs/>
        </w:rPr>
        <w:t>‘</w:t>
      </w:r>
      <w:r w:rsidR="00542AE2" w:rsidRPr="00542AE2">
        <w:rPr>
          <w:rFonts w:asciiTheme="majorHAnsi" w:hAnsiTheme="majorHAnsi" w:cstheme="majorHAnsi"/>
          <w:i/>
          <w:iCs/>
        </w:rPr>
        <w:t>not satisfied that the circumstances have changed in a way that would justify the court altering the conclusion it reached in June 2023 that, without the provision of funds under an LSPO, the wife would not reasonably be able to obtain appropriate legal services up to and including the final hearing</w:t>
      </w:r>
      <w:r w:rsidR="00542AE2">
        <w:rPr>
          <w:rFonts w:asciiTheme="majorHAnsi" w:hAnsiTheme="majorHAnsi" w:cstheme="majorHAnsi"/>
          <w:i/>
          <w:iCs/>
        </w:rPr>
        <w:t>’</w:t>
      </w:r>
      <w:r w:rsidR="00542AE2">
        <w:rPr>
          <w:rFonts w:asciiTheme="majorHAnsi" w:hAnsiTheme="majorHAnsi" w:cstheme="majorHAnsi"/>
        </w:rPr>
        <w:t xml:space="preserve">. </w:t>
      </w:r>
    </w:p>
    <w:p w14:paraId="0C3F5786" w14:textId="77777777" w:rsidR="00387933" w:rsidRDefault="00387933" w:rsidP="005671C0">
      <w:pPr>
        <w:tabs>
          <w:tab w:val="left" w:pos="1843"/>
        </w:tabs>
        <w:jc w:val="both"/>
        <w:rPr>
          <w:rFonts w:asciiTheme="majorHAnsi" w:hAnsiTheme="majorHAnsi" w:cstheme="majorHAnsi"/>
        </w:rPr>
      </w:pPr>
    </w:p>
    <w:p w14:paraId="78DCE6C6" w14:textId="7CB50B24" w:rsidR="00A40287" w:rsidRPr="000C159B" w:rsidRDefault="00387933" w:rsidP="005671C0">
      <w:pPr>
        <w:tabs>
          <w:tab w:val="left" w:pos="1843"/>
        </w:tabs>
        <w:jc w:val="both"/>
        <w:rPr>
          <w:rFonts w:asciiTheme="majorHAnsi" w:hAnsiTheme="majorHAnsi" w:cstheme="majorHAnsi"/>
        </w:rPr>
      </w:pPr>
      <w:r>
        <w:rPr>
          <w:rFonts w:asciiTheme="majorHAnsi" w:hAnsiTheme="majorHAnsi" w:cstheme="majorHAnsi"/>
        </w:rPr>
        <w:t>In relation to</w:t>
      </w:r>
      <w:r w:rsidR="00542AE2">
        <w:rPr>
          <w:rFonts w:asciiTheme="majorHAnsi" w:hAnsiTheme="majorHAnsi" w:cstheme="majorHAnsi"/>
        </w:rPr>
        <w:t xml:space="preserve"> discharging</w:t>
      </w:r>
      <w:r>
        <w:rPr>
          <w:rFonts w:asciiTheme="majorHAnsi" w:hAnsiTheme="majorHAnsi" w:cstheme="majorHAnsi"/>
        </w:rPr>
        <w:t xml:space="preserve"> the MPS, Macdonald J was </w:t>
      </w:r>
      <w:r>
        <w:rPr>
          <w:rFonts w:asciiTheme="majorHAnsi" w:hAnsiTheme="majorHAnsi" w:cstheme="majorHAnsi"/>
          <w:i/>
          <w:iCs/>
        </w:rPr>
        <w:t>‘</w:t>
      </w:r>
      <w:r w:rsidRPr="00387933">
        <w:rPr>
          <w:rFonts w:asciiTheme="majorHAnsi" w:hAnsiTheme="majorHAnsi" w:cstheme="majorHAnsi"/>
          <w:i/>
          <w:iCs/>
        </w:rPr>
        <w:t>satisfied that the circumstances have not changed since June 2023 such that the court could now conclude that the wife can no longer establish a reasonable need for maintenance pending suit, although I am satisfied that there has been a change of circumstances that justifies revisiting the quantum of that order</w:t>
      </w:r>
      <w:r>
        <w:rPr>
          <w:rFonts w:asciiTheme="majorHAnsi" w:hAnsiTheme="majorHAnsi" w:cstheme="majorHAnsi"/>
          <w:i/>
          <w:iCs/>
        </w:rPr>
        <w:t>’</w:t>
      </w:r>
      <w:r>
        <w:rPr>
          <w:rFonts w:asciiTheme="majorHAnsi" w:hAnsiTheme="majorHAnsi" w:cstheme="majorHAnsi"/>
        </w:rPr>
        <w:t>.</w:t>
      </w:r>
      <w:r w:rsidR="00542AE2">
        <w:rPr>
          <w:rFonts w:asciiTheme="majorHAnsi" w:hAnsiTheme="majorHAnsi" w:cstheme="majorHAnsi"/>
        </w:rPr>
        <w:t xml:space="preserve"> </w:t>
      </w:r>
      <w:r w:rsidR="00814254">
        <w:rPr>
          <w:rFonts w:asciiTheme="majorHAnsi" w:hAnsiTheme="majorHAnsi" w:cstheme="majorHAnsi"/>
        </w:rPr>
        <w:t xml:space="preserve">It would be interesting to see whether this reasoning holds up to an application of s.31 of the Act, to include consideration of any changes in the factors that form </w:t>
      </w:r>
      <w:r w:rsidR="00814254">
        <w:rPr>
          <w:rFonts w:asciiTheme="majorHAnsi" w:hAnsiTheme="majorHAnsi" w:cstheme="majorHAnsi"/>
          <w:b/>
          <w:bCs/>
        </w:rPr>
        <w:t xml:space="preserve">all the circumstances to which the court is to have regard </w:t>
      </w:r>
      <w:r w:rsidR="00814254" w:rsidRPr="00814254">
        <w:rPr>
          <w:rFonts w:asciiTheme="majorHAnsi" w:hAnsiTheme="majorHAnsi" w:cstheme="majorHAnsi"/>
        </w:rPr>
        <w:t>when making an MPS order,</w:t>
      </w:r>
      <w:r w:rsidR="00814254">
        <w:rPr>
          <w:rFonts w:asciiTheme="majorHAnsi" w:hAnsiTheme="majorHAnsi" w:cstheme="majorHAnsi"/>
        </w:rPr>
        <w:t xml:space="preserve"> as laid out in </w:t>
      </w:r>
      <w:r w:rsidR="00814254">
        <w:rPr>
          <w:rFonts w:asciiTheme="majorHAnsi" w:hAnsiTheme="majorHAnsi" w:cstheme="majorHAnsi"/>
          <w:i/>
          <w:iCs/>
        </w:rPr>
        <w:t>TL v ML</w:t>
      </w:r>
      <w:r w:rsidR="00814254">
        <w:rPr>
          <w:rFonts w:asciiTheme="majorHAnsi" w:hAnsiTheme="majorHAnsi" w:cstheme="majorHAnsi"/>
        </w:rPr>
        <w:t xml:space="preserve">. </w:t>
      </w:r>
    </w:p>
    <w:p w14:paraId="1BB57C8E" w14:textId="77777777" w:rsidR="003E7DD6" w:rsidRDefault="003E7DD6" w:rsidP="005671C0">
      <w:pPr>
        <w:tabs>
          <w:tab w:val="left" w:pos="1843"/>
        </w:tabs>
        <w:jc w:val="both"/>
        <w:rPr>
          <w:rFonts w:asciiTheme="majorHAnsi" w:hAnsiTheme="majorHAnsi" w:cstheme="majorHAnsi"/>
        </w:rPr>
      </w:pPr>
    </w:p>
    <w:p w14:paraId="44631A98" w14:textId="53AA0626" w:rsidR="003E7DD6" w:rsidRPr="000C159B" w:rsidRDefault="00A40287" w:rsidP="005671C0">
      <w:pPr>
        <w:tabs>
          <w:tab w:val="left" w:pos="1843"/>
        </w:tabs>
        <w:jc w:val="both"/>
        <w:rPr>
          <w:rFonts w:asciiTheme="majorHAnsi" w:hAnsiTheme="majorHAnsi" w:cstheme="majorHAnsi"/>
        </w:rPr>
      </w:pPr>
      <w:r>
        <w:rPr>
          <w:rFonts w:asciiTheme="majorHAnsi" w:hAnsiTheme="majorHAnsi" w:cstheme="majorHAnsi"/>
        </w:rPr>
        <w:t>The final hearing is liste</w:t>
      </w:r>
      <w:r w:rsidR="00CB2C49">
        <w:rPr>
          <w:rFonts w:asciiTheme="majorHAnsi" w:hAnsiTheme="majorHAnsi" w:cstheme="majorHAnsi"/>
        </w:rPr>
        <w:t>d</w:t>
      </w:r>
      <w:r>
        <w:rPr>
          <w:rFonts w:asciiTheme="majorHAnsi" w:hAnsiTheme="majorHAnsi" w:cstheme="majorHAnsi"/>
        </w:rPr>
        <w:t xml:space="preserve"> to commence on 19 February 2024. </w:t>
      </w:r>
    </w:p>
    <w:p w14:paraId="651044F9" w14:textId="77777777" w:rsidR="003E7DD6" w:rsidRPr="000C159B" w:rsidRDefault="003E7DD6" w:rsidP="005671C0">
      <w:pPr>
        <w:tabs>
          <w:tab w:val="left" w:pos="1843"/>
        </w:tabs>
        <w:jc w:val="both"/>
        <w:rPr>
          <w:rFonts w:asciiTheme="majorHAnsi" w:hAnsiTheme="majorHAnsi" w:cstheme="majorHAnsi"/>
        </w:rPr>
      </w:pPr>
    </w:p>
    <w:p w14:paraId="6CA5C483" w14:textId="6AF9CBF0" w:rsidR="000E263C" w:rsidRDefault="00CB2C49" w:rsidP="005671C0">
      <w:pPr>
        <w:tabs>
          <w:tab w:val="left" w:pos="1843"/>
        </w:tabs>
        <w:jc w:val="both"/>
        <w:rPr>
          <w:rFonts w:asciiTheme="majorHAnsi" w:hAnsiTheme="majorHAnsi" w:cstheme="majorHAnsi"/>
          <w:b/>
          <w:bCs/>
        </w:rPr>
      </w:pPr>
      <w:r>
        <w:rPr>
          <w:rFonts w:asciiTheme="majorHAnsi" w:hAnsiTheme="majorHAnsi" w:cstheme="majorHAnsi"/>
          <w:b/>
          <w:bCs/>
        </w:rPr>
        <w:t>Key points</w:t>
      </w:r>
    </w:p>
    <w:p w14:paraId="6B302EAB" w14:textId="77777777" w:rsidR="00CB2C49" w:rsidRDefault="00CB2C49" w:rsidP="005671C0">
      <w:pPr>
        <w:tabs>
          <w:tab w:val="left" w:pos="1843"/>
        </w:tabs>
        <w:jc w:val="both"/>
        <w:rPr>
          <w:rFonts w:asciiTheme="majorHAnsi" w:hAnsiTheme="majorHAnsi" w:cstheme="majorHAnsi"/>
          <w:b/>
          <w:bCs/>
        </w:rPr>
      </w:pPr>
    </w:p>
    <w:p w14:paraId="3D7844AF" w14:textId="6E63B819" w:rsidR="00CB2C49" w:rsidRPr="00CB2C49" w:rsidRDefault="00CB2C49" w:rsidP="00CB2C49">
      <w:pPr>
        <w:tabs>
          <w:tab w:val="left" w:pos="1843"/>
        </w:tabs>
        <w:jc w:val="both"/>
        <w:rPr>
          <w:rFonts w:asciiTheme="majorHAnsi" w:hAnsiTheme="majorHAnsi" w:cstheme="majorHAnsi"/>
        </w:rPr>
      </w:pPr>
      <w:r w:rsidRPr="00CB2C49">
        <w:rPr>
          <w:rFonts w:asciiTheme="majorHAnsi" w:hAnsiTheme="majorHAnsi" w:cstheme="majorHAnsi"/>
        </w:rPr>
        <w:t xml:space="preserve">The crux of the case is in the bar for varying interim arrangements. However, in carrying out a ‘bigger picture’ evaluation of the interim </w:t>
      </w:r>
      <w:proofErr w:type="gramStart"/>
      <w:r w:rsidRPr="00CB2C49">
        <w:rPr>
          <w:rFonts w:asciiTheme="majorHAnsi" w:hAnsiTheme="majorHAnsi" w:cstheme="majorHAnsi"/>
        </w:rPr>
        <w:t>state of affairs</w:t>
      </w:r>
      <w:proofErr w:type="gramEnd"/>
      <w:r w:rsidRPr="00CB2C49">
        <w:rPr>
          <w:rFonts w:asciiTheme="majorHAnsi" w:hAnsiTheme="majorHAnsi" w:cstheme="majorHAnsi"/>
        </w:rPr>
        <w:t xml:space="preserve"> and maintaining a focus on the facts, holistic and thorough though this was, the precise tests relevant to the various applications and cross-applications were somewhat lost and the threshold</w:t>
      </w:r>
      <w:r>
        <w:rPr>
          <w:rFonts w:asciiTheme="majorHAnsi" w:hAnsiTheme="majorHAnsi" w:cstheme="majorHAnsi"/>
        </w:rPr>
        <w:t xml:space="preserve"> (or thresholds as they perhaps vary for each test) </w:t>
      </w:r>
      <w:r w:rsidRPr="00CB2C49">
        <w:rPr>
          <w:rFonts w:asciiTheme="majorHAnsi" w:hAnsiTheme="majorHAnsi" w:cstheme="majorHAnsi"/>
        </w:rPr>
        <w:t>for meeting the criteria to satisfy these at the interim stage is unfortunately no clearer.</w:t>
      </w:r>
    </w:p>
    <w:sectPr w:rsidR="00CB2C49" w:rsidRPr="00CB2C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6CB71" w14:textId="77777777" w:rsidR="001F44C2" w:rsidRDefault="001F44C2" w:rsidP="00D16651">
      <w:r>
        <w:separator/>
      </w:r>
    </w:p>
  </w:endnote>
  <w:endnote w:type="continuationSeparator" w:id="0">
    <w:p w14:paraId="5EC486DE" w14:textId="77777777" w:rsidR="001F44C2" w:rsidRDefault="001F44C2" w:rsidP="00D1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F709" w14:textId="77777777" w:rsidR="001F44C2" w:rsidRDefault="001F44C2" w:rsidP="00D16651">
      <w:r>
        <w:separator/>
      </w:r>
    </w:p>
  </w:footnote>
  <w:footnote w:type="continuationSeparator" w:id="0">
    <w:p w14:paraId="524120CF" w14:textId="77777777" w:rsidR="001F44C2" w:rsidRDefault="001F44C2" w:rsidP="00D16651">
      <w:r>
        <w:continuationSeparator/>
      </w:r>
    </w:p>
  </w:footnote>
  <w:footnote w:id="1">
    <w:p w14:paraId="3D8D23C5" w14:textId="25EE27C1" w:rsidR="00B1791B" w:rsidRPr="00B1791B" w:rsidRDefault="00B1791B">
      <w:pPr>
        <w:pStyle w:val="FootnoteText"/>
        <w:rPr>
          <w:rFonts w:asciiTheme="majorHAnsi" w:hAnsiTheme="majorHAnsi" w:cstheme="majorHAnsi"/>
          <w:sz w:val="16"/>
          <w:szCs w:val="16"/>
        </w:rPr>
      </w:pPr>
      <w:r w:rsidRPr="00B1791B">
        <w:rPr>
          <w:rStyle w:val="FootnoteReference"/>
          <w:rFonts w:asciiTheme="majorHAnsi" w:hAnsiTheme="majorHAnsi" w:cstheme="majorHAnsi"/>
          <w:sz w:val="16"/>
          <w:szCs w:val="16"/>
        </w:rPr>
        <w:footnoteRef/>
      </w:r>
      <w:r w:rsidRPr="00B1791B">
        <w:rPr>
          <w:rFonts w:asciiTheme="majorHAnsi" w:hAnsiTheme="majorHAnsi" w:cstheme="majorHAnsi"/>
          <w:sz w:val="16"/>
          <w:szCs w:val="16"/>
        </w:rPr>
        <w:t xml:space="preserve"> [2005] EWHC 2860 (Fam). </w:t>
      </w:r>
    </w:p>
  </w:footnote>
  <w:footnote w:id="2">
    <w:p w14:paraId="3AFB59F4" w14:textId="197782E1" w:rsidR="00B1791B" w:rsidRPr="00B1791B" w:rsidRDefault="00B1791B">
      <w:pPr>
        <w:pStyle w:val="FootnoteText"/>
        <w:rPr>
          <w:rFonts w:asciiTheme="majorHAnsi" w:hAnsiTheme="majorHAnsi" w:cstheme="majorHAnsi"/>
          <w:sz w:val="16"/>
          <w:szCs w:val="16"/>
        </w:rPr>
      </w:pPr>
      <w:r w:rsidRPr="00B1791B">
        <w:rPr>
          <w:rStyle w:val="FootnoteReference"/>
          <w:rFonts w:asciiTheme="majorHAnsi" w:hAnsiTheme="majorHAnsi" w:cstheme="majorHAnsi"/>
          <w:sz w:val="16"/>
          <w:szCs w:val="16"/>
        </w:rPr>
        <w:footnoteRef/>
      </w:r>
      <w:r w:rsidRPr="00B1791B">
        <w:rPr>
          <w:rFonts w:asciiTheme="majorHAnsi" w:hAnsiTheme="majorHAnsi" w:cstheme="majorHAnsi"/>
          <w:sz w:val="16"/>
          <w:szCs w:val="16"/>
        </w:rPr>
        <w:t xml:space="preserve"> [2015] EWCA CIV 833 [15]. </w:t>
      </w:r>
    </w:p>
  </w:footnote>
  <w:footnote w:id="3">
    <w:p w14:paraId="7EB5C9AA" w14:textId="479AB291" w:rsidR="00B1791B" w:rsidRPr="00B1791B" w:rsidRDefault="00B1791B">
      <w:pPr>
        <w:pStyle w:val="FootnoteText"/>
        <w:rPr>
          <w:rFonts w:asciiTheme="majorHAnsi" w:hAnsiTheme="majorHAnsi" w:cstheme="majorHAnsi"/>
          <w:sz w:val="16"/>
          <w:szCs w:val="16"/>
        </w:rPr>
      </w:pPr>
      <w:r w:rsidRPr="00B1791B">
        <w:rPr>
          <w:rStyle w:val="FootnoteReference"/>
          <w:rFonts w:asciiTheme="majorHAnsi" w:hAnsiTheme="majorHAnsi" w:cstheme="majorHAnsi"/>
          <w:sz w:val="16"/>
          <w:szCs w:val="16"/>
        </w:rPr>
        <w:footnoteRef/>
      </w:r>
      <w:r w:rsidRPr="00B1791B">
        <w:rPr>
          <w:rFonts w:asciiTheme="majorHAnsi" w:hAnsiTheme="majorHAnsi" w:cstheme="majorHAnsi"/>
          <w:sz w:val="16"/>
          <w:szCs w:val="16"/>
        </w:rPr>
        <w:t xml:space="preserve"> [2018] EWHC 340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DB95" w14:textId="26EEE9AE" w:rsidR="00D16651" w:rsidRPr="00DB6E57" w:rsidRDefault="00D16651" w:rsidP="00D16651">
    <w:pPr>
      <w:pStyle w:val="Header"/>
      <w:jc w:val="right"/>
      <w:rPr>
        <w:rFonts w:asciiTheme="majorHAnsi" w:hAnsiTheme="majorHAnsi" w:cstheme="majorHAnsi"/>
      </w:rPr>
    </w:pPr>
    <w:proofErr w:type="spellStart"/>
    <w:r w:rsidRPr="00DB6E57">
      <w:rPr>
        <w:rFonts w:asciiTheme="majorHAnsi" w:hAnsiTheme="majorHAnsi" w:cstheme="majorHAnsi"/>
      </w:rPr>
      <w:t>Mahnoor</w:t>
    </w:r>
    <w:proofErr w:type="spellEnd"/>
    <w:r w:rsidRPr="00DB6E57">
      <w:rPr>
        <w:rFonts w:asciiTheme="majorHAnsi" w:hAnsiTheme="majorHAnsi" w:cstheme="majorHAnsi"/>
      </w:rPr>
      <w:t xml:space="preserve"> </w:t>
    </w:r>
    <w:proofErr w:type="spellStart"/>
    <w:r w:rsidRPr="00DB6E57">
      <w:rPr>
        <w:rFonts w:asciiTheme="majorHAnsi" w:hAnsiTheme="majorHAnsi" w:cstheme="majorHAnsi"/>
      </w:rPr>
      <w:t>Javed</w:t>
    </w:r>
    <w:proofErr w:type="spellEnd"/>
  </w:p>
  <w:p w14:paraId="0948966B" w14:textId="2EC4FD6B" w:rsidR="00D16651" w:rsidRPr="00DB6E57" w:rsidRDefault="00D16651" w:rsidP="00D16651">
    <w:pPr>
      <w:pStyle w:val="Header"/>
      <w:jc w:val="right"/>
      <w:rPr>
        <w:rFonts w:asciiTheme="majorHAnsi" w:hAnsiTheme="majorHAnsi" w:cstheme="majorHAnsi"/>
      </w:rPr>
    </w:pPr>
    <w:r w:rsidRPr="00DB6E57">
      <w:rPr>
        <w:rFonts w:asciiTheme="majorHAnsi" w:hAnsiTheme="majorHAnsi" w:cstheme="majorHAnsi"/>
      </w:rPr>
      <w:t>Pupil</w:t>
    </w:r>
  </w:p>
  <w:p w14:paraId="25F3F5D4" w14:textId="09CC212E" w:rsidR="00D16651" w:rsidRDefault="00D16651" w:rsidP="00D16651">
    <w:pPr>
      <w:pStyle w:val="Header"/>
      <w:jc w:val="right"/>
      <w:rPr>
        <w:rFonts w:asciiTheme="majorHAnsi" w:hAnsiTheme="majorHAnsi" w:cstheme="majorHAnsi"/>
      </w:rPr>
    </w:pPr>
    <w:r w:rsidRPr="00DB6E57">
      <w:rPr>
        <w:rFonts w:asciiTheme="majorHAnsi" w:hAnsiTheme="majorHAnsi" w:cstheme="majorHAnsi"/>
      </w:rPr>
      <w:t>4 Brick Court</w:t>
    </w:r>
  </w:p>
  <w:p w14:paraId="71E9F289" w14:textId="134F17D5" w:rsidR="00DC3E9F" w:rsidRDefault="00DC3E9F" w:rsidP="00D16651">
    <w:pPr>
      <w:pStyle w:val="Header"/>
      <w:jc w:val="right"/>
      <w:rPr>
        <w:rFonts w:asciiTheme="majorHAnsi" w:hAnsiTheme="majorHAnsi" w:cstheme="majorHAnsi"/>
      </w:rPr>
    </w:pPr>
    <w:r>
      <w:rPr>
        <w:rFonts w:asciiTheme="majorHAnsi" w:hAnsiTheme="majorHAnsi" w:cstheme="majorHAnsi"/>
      </w:rPr>
      <w:t>December 2023</w:t>
    </w:r>
  </w:p>
  <w:p w14:paraId="4F6C9DEC" w14:textId="77777777" w:rsidR="007276D7" w:rsidRPr="00DB6E57" w:rsidRDefault="007276D7" w:rsidP="00D16651">
    <w:pPr>
      <w:pStyle w:val="Header"/>
      <w:jc w:val="right"/>
      <w:rPr>
        <w:rFonts w:asciiTheme="majorHAnsi" w:hAnsiTheme="majorHAnsi" w:cstheme="majorHAnsi"/>
      </w:rPr>
    </w:pPr>
  </w:p>
  <w:p w14:paraId="5CCA169A" w14:textId="77777777" w:rsidR="00D16651" w:rsidRPr="00DB6E57" w:rsidRDefault="00D16651" w:rsidP="00D16651">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1980"/>
    <w:multiLevelType w:val="hybridMultilevel"/>
    <w:tmpl w:val="DF1A96F4"/>
    <w:lvl w:ilvl="0" w:tplc="3B905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4501F"/>
    <w:multiLevelType w:val="hybridMultilevel"/>
    <w:tmpl w:val="D72AE528"/>
    <w:lvl w:ilvl="0" w:tplc="DEEECE46">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A062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711458A9"/>
    <w:multiLevelType w:val="hybridMultilevel"/>
    <w:tmpl w:val="69D0AA7A"/>
    <w:lvl w:ilvl="0" w:tplc="A3C2BC3A">
      <w:start w:val="1"/>
      <w:numFmt w:val="lowerRoman"/>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9761600">
    <w:abstractNumId w:val="1"/>
  </w:num>
  <w:num w:numId="2" w16cid:durableId="486701748">
    <w:abstractNumId w:val="3"/>
  </w:num>
  <w:num w:numId="3" w16cid:durableId="371999226">
    <w:abstractNumId w:val="2"/>
  </w:num>
  <w:num w:numId="4" w16cid:durableId="40692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51"/>
    <w:rsid w:val="00095E4F"/>
    <w:rsid w:val="000C159B"/>
    <w:rsid w:val="000E263C"/>
    <w:rsid w:val="001F44C2"/>
    <w:rsid w:val="002E0E48"/>
    <w:rsid w:val="002F494F"/>
    <w:rsid w:val="003053AB"/>
    <w:rsid w:val="00387933"/>
    <w:rsid w:val="003E7DD6"/>
    <w:rsid w:val="00446103"/>
    <w:rsid w:val="004E6BFD"/>
    <w:rsid w:val="00514BE0"/>
    <w:rsid w:val="00534AD9"/>
    <w:rsid w:val="00542AE2"/>
    <w:rsid w:val="005671C0"/>
    <w:rsid w:val="005A4652"/>
    <w:rsid w:val="00637318"/>
    <w:rsid w:val="007276D7"/>
    <w:rsid w:val="007415CD"/>
    <w:rsid w:val="00814254"/>
    <w:rsid w:val="00831E3E"/>
    <w:rsid w:val="00877A0C"/>
    <w:rsid w:val="008C0AD7"/>
    <w:rsid w:val="00A015EF"/>
    <w:rsid w:val="00A40287"/>
    <w:rsid w:val="00B1791B"/>
    <w:rsid w:val="00B32115"/>
    <w:rsid w:val="00B71401"/>
    <w:rsid w:val="00B82C18"/>
    <w:rsid w:val="00BB662D"/>
    <w:rsid w:val="00CB2C49"/>
    <w:rsid w:val="00D16651"/>
    <w:rsid w:val="00D771DB"/>
    <w:rsid w:val="00DB6E57"/>
    <w:rsid w:val="00DC3E9F"/>
    <w:rsid w:val="00E8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0A93"/>
  <w15:chartTrackingRefBased/>
  <w15:docId w15:val="{3431990F-0336-BB4A-BDD1-CE4C22FF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51"/>
    <w:pPr>
      <w:tabs>
        <w:tab w:val="center" w:pos="4513"/>
        <w:tab w:val="right" w:pos="9026"/>
      </w:tabs>
    </w:pPr>
  </w:style>
  <w:style w:type="character" w:customStyle="1" w:styleId="HeaderChar">
    <w:name w:val="Header Char"/>
    <w:basedOn w:val="DefaultParagraphFont"/>
    <w:link w:val="Header"/>
    <w:uiPriority w:val="99"/>
    <w:rsid w:val="00D16651"/>
  </w:style>
  <w:style w:type="paragraph" w:styleId="Footer">
    <w:name w:val="footer"/>
    <w:basedOn w:val="Normal"/>
    <w:link w:val="FooterChar"/>
    <w:uiPriority w:val="99"/>
    <w:unhideWhenUsed/>
    <w:rsid w:val="00D16651"/>
    <w:pPr>
      <w:tabs>
        <w:tab w:val="center" w:pos="4513"/>
        <w:tab w:val="right" w:pos="9026"/>
      </w:tabs>
    </w:pPr>
  </w:style>
  <w:style w:type="character" w:customStyle="1" w:styleId="FooterChar">
    <w:name w:val="Footer Char"/>
    <w:basedOn w:val="DefaultParagraphFont"/>
    <w:link w:val="Footer"/>
    <w:uiPriority w:val="99"/>
    <w:rsid w:val="00D16651"/>
  </w:style>
  <w:style w:type="character" w:styleId="Hyperlink">
    <w:name w:val="Hyperlink"/>
    <w:basedOn w:val="DefaultParagraphFont"/>
    <w:uiPriority w:val="99"/>
    <w:unhideWhenUsed/>
    <w:rsid w:val="00DB6E57"/>
    <w:rPr>
      <w:color w:val="0563C1" w:themeColor="hyperlink"/>
      <w:u w:val="single"/>
    </w:rPr>
  </w:style>
  <w:style w:type="character" w:styleId="UnresolvedMention">
    <w:name w:val="Unresolved Mention"/>
    <w:basedOn w:val="DefaultParagraphFont"/>
    <w:uiPriority w:val="99"/>
    <w:semiHidden/>
    <w:unhideWhenUsed/>
    <w:rsid w:val="00DB6E57"/>
    <w:rPr>
      <w:color w:val="605E5C"/>
      <w:shd w:val="clear" w:color="auto" w:fill="E1DFDD"/>
    </w:rPr>
  </w:style>
  <w:style w:type="paragraph" w:styleId="ListParagraph">
    <w:name w:val="List Paragraph"/>
    <w:basedOn w:val="Normal"/>
    <w:uiPriority w:val="34"/>
    <w:qFormat/>
    <w:rsid w:val="00A015EF"/>
    <w:pPr>
      <w:ind w:left="720"/>
      <w:contextualSpacing/>
    </w:pPr>
  </w:style>
  <w:style w:type="character" w:styleId="FollowedHyperlink">
    <w:name w:val="FollowedHyperlink"/>
    <w:basedOn w:val="DefaultParagraphFont"/>
    <w:uiPriority w:val="99"/>
    <w:semiHidden/>
    <w:unhideWhenUsed/>
    <w:rsid w:val="002E0E48"/>
    <w:rPr>
      <w:color w:val="954F72" w:themeColor="followedHyperlink"/>
      <w:u w:val="single"/>
    </w:rPr>
  </w:style>
  <w:style w:type="paragraph" w:styleId="FootnoteText">
    <w:name w:val="footnote text"/>
    <w:basedOn w:val="Normal"/>
    <w:link w:val="FootnoteTextChar"/>
    <w:uiPriority w:val="99"/>
    <w:semiHidden/>
    <w:unhideWhenUsed/>
    <w:rsid w:val="00B1791B"/>
    <w:rPr>
      <w:sz w:val="20"/>
      <w:szCs w:val="20"/>
    </w:rPr>
  </w:style>
  <w:style w:type="character" w:customStyle="1" w:styleId="FootnoteTextChar">
    <w:name w:val="Footnote Text Char"/>
    <w:basedOn w:val="DefaultParagraphFont"/>
    <w:link w:val="FootnoteText"/>
    <w:uiPriority w:val="99"/>
    <w:semiHidden/>
    <w:rsid w:val="00B1791B"/>
    <w:rPr>
      <w:sz w:val="20"/>
      <w:szCs w:val="20"/>
    </w:rPr>
  </w:style>
  <w:style w:type="character" w:styleId="FootnoteReference">
    <w:name w:val="footnote reference"/>
    <w:basedOn w:val="DefaultParagraphFont"/>
    <w:uiPriority w:val="99"/>
    <w:semiHidden/>
    <w:unhideWhenUsed/>
    <w:rsid w:val="00B17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0235">
      <w:bodyDiv w:val="1"/>
      <w:marLeft w:val="0"/>
      <w:marRight w:val="0"/>
      <w:marTop w:val="0"/>
      <w:marBottom w:val="0"/>
      <w:divBdr>
        <w:top w:val="none" w:sz="0" w:space="0" w:color="auto"/>
        <w:left w:val="none" w:sz="0" w:space="0" w:color="auto"/>
        <w:bottom w:val="none" w:sz="0" w:space="0" w:color="auto"/>
        <w:right w:val="none" w:sz="0" w:space="0" w:color="auto"/>
      </w:divBdr>
    </w:div>
    <w:div w:id="443965536">
      <w:bodyDiv w:val="1"/>
      <w:marLeft w:val="0"/>
      <w:marRight w:val="0"/>
      <w:marTop w:val="0"/>
      <w:marBottom w:val="0"/>
      <w:divBdr>
        <w:top w:val="none" w:sz="0" w:space="0" w:color="auto"/>
        <w:left w:val="none" w:sz="0" w:space="0" w:color="auto"/>
        <w:bottom w:val="none" w:sz="0" w:space="0" w:color="auto"/>
        <w:right w:val="none" w:sz="0" w:space="0" w:color="auto"/>
      </w:divBdr>
    </w:div>
    <w:div w:id="456727965">
      <w:bodyDiv w:val="1"/>
      <w:marLeft w:val="0"/>
      <w:marRight w:val="0"/>
      <w:marTop w:val="0"/>
      <w:marBottom w:val="0"/>
      <w:divBdr>
        <w:top w:val="none" w:sz="0" w:space="0" w:color="auto"/>
        <w:left w:val="none" w:sz="0" w:space="0" w:color="auto"/>
        <w:bottom w:val="none" w:sz="0" w:space="0" w:color="auto"/>
        <w:right w:val="none" w:sz="0" w:space="0" w:color="auto"/>
      </w:divBdr>
    </w:div>
    <w:div w:id="473908314">
      <w:bodyDiv w:val="1"/>
      <w:marLeft w:val="0"/>
      <w:marRight w:val="0"/>
      <w:marTop w:val="0"/>
      <w:marBottom w:val="0"/>
      <w:divBdr>
        <w:top w:val="none" w:sz="0" w:space="0" w:color="auto"/>
        <w:left w:val="none" w:sz="0" w:space="0" w:color="auto"/>
        <w:bottom w:val="none" w:sz="0" w:space="0" w:color="auto"/>
        <w:right w:val="none" w:sz="0" w:space="0" w:color="auto"/>
      </w:divBdr>
    </w:div>
    <w:div w:id="738403072">
      <w:bodyDiv w:val="1"/>
      <w:marLeft w:val="0"/>
      <w:marRight w:val="0"/>
      <w:marTop w:val="0"/>
      <w:marBottom w:val="0"/>
      <w:divBdr>
        <w:top w:val="none" w:sz="0" w:space="0" w:color="auto"/>
        <w:left w:val="none" w:sz="0" w:space="0" w:color="auto"/>
        <w:bottom w:val="none" w:sz="0" w:space="0" w:color="auto"/>
        <w:right w:val="none" w:sz="0" w:space="0" w:color="auto"/>
      </w:divBdr>
    </w:div>
    <w:div w:id="950207667">
      <w:bodyDiv w:val="1"/>
      <w:marLeft w:val="0"/>
      <w:marRight w:val="0"/>
      <w:marTop w:val="0"/>
      <w:marBottom w:val="0"/>
      <w:divBdr>
        <w:top w:val="none" w:sz="0" w:space="0" w:color="auto"/>
        <w:left w:val="none" w:sz="0" w:space="0" w:color="auto"/>
        <w:bottom w:val="none" w:sz="0" w:space="0" w:color="auto"/>
        <w:right w:val="none" w:sz="0" w:space="0" w:color="auto"/>
      </w:divBdr>
    </w:div>
    <w:div w:id="20231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ilii.org/ew/cases/EWFC/HCJ/2023/1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Mahnoor Javed</dc:creator>
  <cp:keywords/>
  <dc:description/>
  <cp:lastModifiedBy>Mahnoor Javed</cp:lastModifiedBy>
  <cp:revision>17</cp:revision>
  <dcterms:created xsi:type="dcterms:W3CDTF">2023-12-22T10:36:00Z</dcterms:created>
  <dcterms:modified xsi:type="dcterms:W3CDTF">2023-12-29T07:58:00Z</dcterms:modified>
</cp:coreProperties>
</file>