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3D4" w14:textId="184A1195" w:rsidR="003E7DD6" w:rsidRPr="00A37D89" w:rsidRDefault="003E7DD6" w:rsidP="00540F54">
      <w:pPr>
        <w:tabs>
          <w:tab w:val="left" w:pos="1843"/>
        </w:tabs>
        <w:jc w:val="both"/>
        <w:rPr>
          <w:rFonts w:asciiTheme="majorHAnsi" w:hAnsiTheme="majorHAnsi" w:cstheme="majorHAnsi"/>
          <w:b/>
          <w:bCs/>
        </w:rPr>
      </w:pPr>
    </w:p>
    <w:p w14:paraId="7CFE4213" w14:textId="47EC7579" w:rsidR="00457424" w:rsidRPr="00A37D89" w:rsidRDefault="00C3244C" w:rsidP="00457424">
      <w:pPr>
        <w:tabs>
          <w:tab w:val="left" w:pos="1843"/>
        </w:tabs>
        <w:jc w:val="both"/>
        <w:rPr>
          <w:rFonts w:asciiTheme="majorHAnsi" w:hAnsiTheme="majorHAnsi" w:cstheme="majorHAnsi"/>
          <w:b/>
          <w:bCs/>
        </w:rPr>
      </w:pPr>
      <w:r w:rsidRPr="00A37D89">
        <w:rPr>
          <w:rFonts w:asciiTheme="majorHAnsi" w:hAnsiTheme="majorHAnsi" w:cstheme="majorHAnsi"/>
          <w:b/>
          <w:bCs/>
          <w:i/>
          <w:iCs/>
        </w:rPr>
        <w:t xml:space="preserve">Re </w:t>
      </w:r>
      <w:r w:rsidR="00457424" w:rsidRPr="00A37D89">
        <w:rPr>
          <w:rFonts w:asciiTheme="majorHAnsi" w:hAnsiTheme="majorHAnsi" w:cstheme="majorHAnsi"/>
          <w:b/>
          <w:bCs/>
          <w:i/>
          <w:iCs/>
        </w:rPr>
        <w:t>O &amp; Y (Parents with Learning Disability: Intermediaries)</w:t>
      </w:r>
      <w:r w:rsidR="00457424" w:rsidRPr="00A37D89">
        <w:rPr>
          <w:rFonts w:asciiTheme="majorHAnsi" w:hAnsiTheme="majorHAnsi" w:cstheme="majorHAnsi"/>
          <w:b/>
          <w:bCs/>
        </w:rPr>
        <w:t xml:space="preserve"> </w:t>
      </w:r>
      <w:hyperlink r:id="rId7" w:history="1">
        <w:r w:rsidR="00457424" w:rsidRPr="00A37D89">
          <w:rPr>
            <w:rStyle w:val="Hyperlink"/>
            <w:rFonts w:asciiTheme="majorHAnsi" w:hAnsiTheme="majorHAnsi" w:cstheme="majorHAnsi"/>
            <w:b/>
            <w:bCs/>
          </w:rPr>
          <w:t>[2024] EWFC 7</w:t>
        </w:r>
      </w:hyperlink>
      <w:r w:rsidR="00457424" w:rsidRPr="00A37D89">
        <w:rPr>
          <w:rFonts w:asciiTheme="majorHAnsi" w:hAnsiTheme="majorHAnsi" w:cstheme="majorHAnsi"/>
          <w:b/>
          <w:bCs/>
        </w:rPr>
        <w:t xml:space="preserve"> </w:t>
      </w:r>
    </w:p>
    <w:p w14:paraId="3A903545" w14:textId="77777777" w:rsidR="00035D06" w:rsidRPr="00A37D89" w:rsidRDefault="00035D06" w:rsidP="00457424">
      <w:pPr>
        <w:tabs>
          <w:tab w:val="left" w:pos="1843"/>
        </w:tabs>
        <w:jc w:val="both"/>
        <w:rPr>
          <w:rFonts w:asciiTheme="majorHAnsi" w:hAnsiTheme="majorHAnsi" w:cstheme="majorHAnsi"/>
        </w:rPr>
      </w:pPr>
    </w:p>
    <w:p w14:paraId="5E4DC306" w14:textId="579E094C" w:rsidR="00035D06" w:rsidRPr="00A37D89" w:rsidRDefault="005A3541" w:rsidP="00457424">
      <w:pPr>
        <w:tabs>
          <w:tab w:val="left" w:pos="1843"/>
        </w:tabs>
        <w:jc w:val="both"/>
        <w:rPr>
          <w:rFonts w:asciiTheme="majorHAnsi" w:hAnsiTheme="majorHAnsi" w:cstheme="majorHAnsi"/>
        </w:rPr>
      </w:pPr>
      <w:r w:rsidRPr="00A37D89">
        <w:rPr>
          <w:rFonts w:asciiTheme="majorHAnsi" w:hAnsiTheme="majorHAnsi" w:cstheme="majorHAnsi"/>
        </w:rPr>
        <w:t xml:space="preserve">HHJ Middleton-Roy considered </w:t>
      </w:r>
      <w:r w:rsidR="00B97B35" w:rsidRPr="00A37D89">
        <w:rPr>
          <w:rFonts w:asciiTheme="majorHAnsi" w:hAnsiTheme="majorHAnsi" w:cstheme="majorHAnsi"/>
        </w:rPr>
        <w:t>the role of intermediaries in care proceedings and gave guidance on the use of ‘whole trial’ intermediary orders</w:t>
      </w:r>
      <w:r w:rsidR="009C1005" w:rsidRPr="00A37D89">
        <w:rPr>
          <w:rFonts w:asciiTheme="majorHAnsi" w:hAnsiTheme="majorHAnsi" w:cstheme="majorHAnsi"/>
        </w:rPr>
        <w:t>.</w:t>
      </w:r>
    </w:p>
    <w:p w14:paraId="33537FD8" w14:textId="77777777" w:rsidR="00D70F8F" w:rsidRPr="00A37D89" w:rsidRDefault="00D70F8F" w:rsidP="00457424">
      <w:pPr>
        <w:tabs>
          <w:tab w:val="left" w:pos="1843"/>
        </w:tabs>
        <w:jc w:val="both"/>
        <w:rPr>
          <w:rFonts w:asciiTheme="majorHAnsi" w:hAnsiTheme="majorHAnsi" w:cstheme="majorHAnsi"/>
        </w:rPr>
      </w:pPr>
    </w:p>
    <w:p w14:paraId="61F14556" w14:textId="7A1CAB13" w:rsidR="00D70F8F" w:rsidRPr="00A37D89" w:rsidRDefault="00D70F8F" w:rsidP="00457424">
      <w:pPr>
        <w:tabs>
          <w:tab w:val="left" w:pos="1843"/>
        </w:tabs>
        <w:jc w:val="both"/>
        <w:rPr>
          <w:rFonts w:asciiTheme="majorHAnsi" w:hAnsiTheme="majorHAnsi" w:cstheme="majorHAnsi"/>
        </w:rPr>
      </w:pPr>
      <w:r w:rsidRPr="00A37D89">
        <w:rPr>
          <w:rFonts w:asciiTheme="majorHAnsi" w:hAnsiTheme="majorHAnsi" w:cstheme="majorHAnsi"/>
        </w:rPr>
        <w:t xml:space="preserve">The judgment came less than a week after the High Court pointed out in </w:t>
      </w:r>
      <w:r w:rsidRPr="00A37D89">
        <w:rPr>
          <w:rFonts w:asciiTheme="majorHAnsi" w:hAnsiTheme="majorHAnsi" w:cstheme="majorHAnsi"/>
          <w:i/>
          <w:iCs/>
        </w:rPr>
        <w:t xml:space="preserve">West Northamptonshire Council v KA &amp; </w:t>
      </w:r>
      <w:proofErr w:type="spellStart"/>
      <w:r w:rsidRPr="00A37D89">
        <w:rPr>
          <w:rFonts w:asciiTheme="majorHAnsi" w:hAnsiTheme="majorHAnsi" w:cstheme="majorHAnsi"/>
          <w:i/>
          <w:iCs/>
        </w:rPr>
        <w:t>Ors</w:t>
      </w:r>
      <w:proofErr w:type="spellEnd"/>
      <w:r w:rsidRPr="00A37D89">
        <w:rPr>
          <w:rFonts w:asciiTheme="majorHAnsi" w:hAnsiTheme="majorHAnsi" w:cstheme="majorHAnsi"/>
        </w:rPr>
        <w:t xml:space="preserve"> [2024] EWHC 79 that </w:t>
      </w:r>
      <w:r w:rsidRPr="00A37D89">
        <w:rPr>
          <w:rFonts w:asciiTheme="majorHAnsi" w:hAnsiTheme="majorHAnsi" w:cstheme="majorHAnsi"/>
          <w:i/>
          <w:iCs/>
        </w:rPr>
        <w:t>‘[the] position in respect of the appointment, qualification and duties of intermediaries in the family justice system is not clearly set out either in the Family Procedure Rules ("FPR") or in any Practice Direction’</w:t>
      </w:r>
      <w:r w:rsidRPr="00A37D89">
        <w:rPr>
          <w:rFonts w:asciiTheme="majorHAnsi" w:hAnsiTheme="majorHAnsi" w:cstheme="majorHAnsi"/>
        </w:rPr>
        <w:t xml:space="preserve"> and so </w:t>
      </w:r>
      <w:r w:rsidR="009205E4" w:rsidRPr="00A37D89">
        <w:rPr>
          <w:rFonts w:asciiTheme="majorHAnsi" w:hAnsiTheme="majorHAnsi" w:cstheme="majorHAnsi"/>
        </w:rPr>
        <w:t xml:space="preserve">the judgments consideration of the use of intermediaries in care proceedings is welcome guidance. </w:t>
      </w:r>
    </w:p>
    <w:p w14:paraId="06B34D18" w14:textId="77777777" w:rsidR="005A3541" w:rsidRPr="00A37D89" w:rsidRDefault="005A3541" w:rsidP="00457424">
      <w:pPr>
        <w:tabs>
          <w:tab w:val="left" w:pos="1843"/>
        </w:tabs>
        <w:jc w:val="both"/>
        <w:rPr>
          <w:rFonts w:asciiTheme="majorHAnsi" w:hAnsiTheme="majorHAnsi" w:cstheme="majorHAnsi"/>
        </w:rPr>
      </w:pPr>
    </w:p>
    <w:p w14:paraId="709224B7" w14:textId="2F185FED" w:rsidR="005A3541" w:rsidRPr="00A37D89" w:rsidRDefault="005A3541" w:rsidP="00457424">
      <w:pPr>
        <w:tabs>
          <w:tab w:val="left" w:pos="1843"/>
        </w:tabs>
        <w:jc w:val="both"/>
        <w:rPr>
          <w:rFonts w:asciiTheme="majorHAnsi" w:hAnsiTheme="majorHAnsi" w:cstheme="majorHAnsi"/>
          <w:b/>
          <w:bCs/>
        </w:rPr>
      </w:pPr>
      <w:r w:rsidRPr="00A37D89">
        <w:rPr>
          <w:rFonts w:asciiTheme="majorHAnsi" w:hAnsiTheme="majorHAnsi" w:cstheme="majorHAnsi"/>
          <w:b/>
          <w:bCs/>
        </w:rPr>
        <w:t xml:space="preserve">The </w:t>
      </w:r>
      <w:r w:rsidR="003311B2" w:rsidRPr="00A37D89">
        <w:rPr>
          <w:rFonts w:asciiTheme="majorHAnsi" w:hAnsiTheme="majorHAnsi" w:cstheme="majorHAnsi"/>
          <w:b/>
          <w:bCs/>
        </w:rPr>
        <w:t>Background</w:t>
      </w:r>
    </w:p>
    <w:p w14:paraId="669993B9" w14:textId="77777777" w:rsidR="005A3541" w:rsidRPr="00A37D89" w:rsidRDefault="005A3541" w:rsidP="00457424">
      <w:pPr>
        <w:tabs>
          <w:tab w:val="left" w:pos="1843"/>
        </w:tabs>
        <w:jc w:val="both"/>
        <w:rPr>
          <w:rFonts w:asciiTheme="majorHAnsi" w:hAnsiTheme="majorHAnsi" w:cstheme="majorHAnsi"/>
          <w:b/>
          <w:bCs/>
        </w:rPr>
      </w:pPr>
    </w:p>
    <w:p w14:paraId="1F31A812" w14:textId="1CB41E26" w:rsidR="005A3541" w:rsidRPr="00A37D89" w:rsidRDefault="005A3541" w:rsidP="00457424">
      <w:pPr>
        <w:tabs>
          <w:tab w:val="left" w:pos="1843"/>
        </w:tabs>
        <w:jc w:val="both"/>
        <w:rPr>
          <w:rFonts w:asciiTheme="majorHAnsi" w:hAnsiTheme="majorHAnsi" w:cstheme="majorHAnsi"/>
        </w:rPr>
      </w:pPr>
      <w:r w:rsidRPr="00A37D89">
        <w:rPr>
          <w:rFonts w:asciiTheme="majorHAnsi" w:hAnsiTheme="majorHAnsi" w:cstheme="majorHAnsi"/>
        </w:rPr>
        <w:t xml:space="preserve">The court was concerned with the welfare of siblings, 9- and 7-year-old sisters who were placed separately by the local authority. </w:t>
      </w:r>
    </w:p>
    <w:p w14:paraId="134CE433" w14:textId="77777777" w:rsidR="005A3541" w:rsidRPr="00A37D89" w:rsidRDefault="005A3541" w:rsidP="00457424">
      <w:pPr>
        <w:tabs>
          <w:tab w:val="left" w:pos="1843"/>
        </w:tabs>
        <w:jc w:val="both"/>
        <w:rPr>
          <w:rFonts w:asciiTheme="majorHAnsi" w:hAnsiTheme="majorHAnsi" w:cstheme="majorHAnsi"/>
        </w:rPr>
      </w:pPr>
    </w:p>
    <w:p w14:paraId="0FCA9030" w14:textId="22D7C196" w:rsidR="00E16C6F" w:rsidRPr="00A37D89" w:rsidRDefault="005A3541" w:rsidP="00457424">
      <w:pPr>
        <w:tabs>
          <w:tab w:val="left" w:pos="1843"/>
        </w:tabs>
        <w:jc w:val="both"/>
        <w:rPr>
          <w:rFonts w:asciiTheme="majorHAnsi" w:hAnsiTheme="majorHAnsi" w:cstheme="majorHAnsi"/>
        </w:rPr>
      </w:pPr>
      <w:r w:rsidRPr="00A37D89">
        <w:rPr>
          <w:rFonts w:asciiTheme="majorHAnsi" w:hAnsiTheme="majorHAnsi" w:cstheme="majorHAnsi"/>
        </w:rPr>
        <w:t>Both parents were vulnerable adults with learning disabilities</w:t>
      </w:r>
      <w:r w:rsidR="00D70F8F" w:rsidRPr="00A37D89">
        <w:rPr>
          <w:rFonts w:asciiTheme="majorHAnsi" w:hAnsiTheme="majorHAnsi" w:cstheme="majorHAnsi"/>
        </w:rPr>
        <w:t xml:space="preserve"> and significant communication needs</w:t>
      </w:r>
      <w:r w:rsidRPr="00A37D89">
        <w:rPr>
          <w:rFonts w:asciiTheme="majorHAnsi" w:hAnsiTheme="majorHAnsi" w:cstheme="majorHAnsi"/>
        </w:rPr>
        <w:t>; both</w:t>
      </w:r>
      <w:r w:rsidR="00E16C6F" w:rsidRPr="00A37D89">
        <w:rPr>
          <w:rFonts w:asciiTheme="majorHAnsi" w:hAnsiTheme="majorHAnsi" w:cstheme="majorHAnsi"/>
        </w:rPr>
        <w:t xml:space="preserve"> were said by the judge to have </w:t>
      </w:r>
      <w:r w:rsidR="00E16C6F" w:rsidRPr="00A37D89">
        <w:rPr>
          <w:rFonts w:asciiTheme="majorHAnsi" w:hAnsiTheme="majorHAnsi" w:cstheme="majorHAnsi"/>
          <w:i/>
          <w:iCs/>
        </w:rPr>
        <w:t xml:space="preserve">‘a level of cognitive functioning within the extremely low range consistent with the bottom first percentile compared to their peers, with scores consistent across all domains including understanding and retention of information, perceptual skills and memory, particularly when under stress’ </w:t>
      </w:r>
      <w:r w:rsidR="00E16C6F" w:rsidRPr="00A37D89">
        <w:rPr>
          <w:rFonts w:asciiTheme="majorHAnsi" w:hAnsiTheme="majorHAnsi" w:cstheme="majorHAnsi"/>
        </w:rPr>
        <w:t>and</w:t>
      </w:r>
      <w:r w:rsidRPr="00A37D89">
        <w:rPr>
          <w:rFonts w:asciiTheme="majorHAnsi" w:hAnsiTheme="majorHAnsi" w:cstheme="majorHAnsi"/>
        </w:rPr>
        <w:t xml:space="preserve"> were </w:t>
      </w:r>
      <w:r w:rsidR="00E16C6F" w:rsidRPr="00A37D89">
        <w:rPr>
          <w:rFonts w:asciiTheme="majorHAnsi" w:hAnsiTheme="majorHAnsi" w:cstheme="majorHAnsi"/>
        </w:rPr>
        <w:t xml:space="preserve">therefore </w:t>
      </w:r>
      <w:r w:rsidRPr="00A37D89">
        <w:rPr>
          <w:rFonts w:asciiTheme="majorHAnsi" w:hAnsiTheme="majorHAnsi" w:cstheme="majorHAnsi"/>
        </w:rPr>
        <w:t xml:space="preserve">assisted by intermediaries. </w:t>
      </w:r>
      <w:r w:rsidR="00E16C6F" w:rsidRPr="00A37D89">
        <w:rPr>
          <w:rFonts w:asciiTheme="majorHAnsi" w:hAnsiTheme="majorHAnsi" w:cstheme="majorHAnsi"/>
        </w:rPr>
        <w:t xml:space="preserve">The father struggled with his physical health and the mother with her mental health. </w:t>
      </w:r>
    </w:p>
    <w:p w14:paraId="4671D421" w14:textId="77777777" w:rsidR="00E16C6F" w:rsidRPr="00A37D89" w:rsidRDefault="00E16C6F" w:rsidP="00457424">
      <w:pPr>
        <w:tabs>
          <w:tab w:val="left" w:pos="1843"/>
        </w:tabs>
        <w:jc w:val="both"/>
        <w:rPr>
          <w:rFonts w:asciiTheme="majorHAnsi" w:hAnsiTheme="majorHAnsi" w:cstheme="majorHAnsi"/>
        </w:rPr>
      </w:pPr>
    </w:p>
    <w:p w14:paraId="3211BC5F" w14:textId="690A2D1E" w:rsidR="005A3541" w:rsidRPr="00A37D89" w:rsidRDefault="005A3541" w:rsidP="00457424">
      <w:pPr>
        <w:tabs>
          <w:tab w:val="left" w:pos="1843"/>
        </w:tabs>
        <w:jc w:val="both"/>
        <w:rPr>
          <w:rFonts w:asciiTheme="majorHAnsi" w:hAnsiTheme="majorHAnsi" w:cstheme="majorHAnsi"/>
        </w:rPr>
      </w:pPr>
      <w:r w:rsidRPr="00A37D89">
        <w:rPr>
          <w:rFonts w:asciiTheme="majorHAnsi" w:hAnsiTheme="majorHAnsi" w:cstheme="majorHAnsi"/>
        </w:rPr>
        <w:t xml:space="preserve">The younger child had autism and epilepsy and suffered with seizures as well as communication difficulties; she was said to function more like a child of 1.5-2 years old than a 7-year-old. </w:t>
      </w:r>
    </w:p>
    <w:p w14:paraId="51F4D217" w14:textId="77777777" w:rsidR="005A3541" w:rsidRPr="00A37D89" w:rsidRDefault="005A3541" w:rsidP="00457424">
      <w:pPr>
        <w:tabs>
          <w:tab w:val="left" w:pos="1843"/>
        </w:tabs>
        <w:jc w:val="both"/>
        <w:rPr>
          <w:rFonts w:asciiTheme="majorHAnsi" w:hAnsiTheme="majorHAnsi" w:cstheme="majorHAnsi"/>
        </w:rPr>
      </w:pPr>
    </w:p>
    <w:p w14:paraId="20AD77CC" w14:textId="4BE5D964" w:rsidR="005A3541" w:rsidRPr="00A37D89" w:rsidRDefault="005A3541" w:rsidP="00457424">
      <w:pPr>
        <w:tabs>
          <w:tab w:val="left" w:pos="1843"/>
        </w:tabs>
        <w:jc w:val="both"/>
        <w:rPr>
          <w:rFonts w:asciiTheme="majorHAnsi" w:hAnsiTheme="majorHAnsi" w:cstheme="majorHAnsi"/>
        </w:rPr>
      </w:pPr>
      <w:r w:rsidRPr="00A37D89">
        <w:rPr>
          <w:rFonts w:asciiTheme="majorHAnsi" w:hAnsiTheme="majorHAnsi" w:cstheme="majorHAnsi"/>
        </w:rPr>
        <w:t>There were concerns about domestic abuse</w:t>
      </w:r>
      <w:r w:rsidR="00785E33" w:rsidRPr="00A37D89">
        <w:rPr>
          <w:rFonts w:asciiTheme="majorHAnsi" w:hAnsiTheme="majorHAnsi" w:cstheme="majorHAnsi"/>
        </w:rPr>
        <w:t>, with the children having witnessed swearing, shouting and violence in the home,</w:t>
      </w:r>
      <w:r w:rsidRPr="00A37D89">
        <w:rPr>
          <w:rFonts w:asciiTheme="majorHAnsi" w:hAnsiTheme="majorHAnsi" w:cstheme="majorHAnsi"/>
        </w:rPr>
        <w:t xml:space="preserve"> as well as a lack of supervision and a lack of boundaries. The court was assisted with an expert</w:t>
      </w:r>
      <w:r w:rsidR="0028151A" w:rsidRPr="00A37D89">
        <w:rPr>
          <w:rFonts w:asciiTheme="majorHAnsi" w:hAnsiTheme="majorHAnsi" w:cstheme="majorHAnsi"/>
        </w:rPr>
        <w:t xml:space="preserve"> cognitive and</w:t>
      </w:r>
      <w:r w:rsidRPr="00A37D89">
        <w:rPr>
          <w:rFonts w:asciiTheme="majorHAnsi" w:hAnsiTheme="majorHAnsi" w:cstheme="majorHAnsi"/>
        </w:rPr>
        <w:t xml:space="preserve"> psychological report of both parents and a ‘sibling assessment’ which concluded that it is best for the children to be placed in separate foster placements. </w:t>
      </w:r>
    </w:p>
    <w:p w14:paraId="7207F77C" w14:textId="77777777" w:rsidR="005A3541" w:rsidRPr="00A37D89" w:rsidRDefault="005A3541" w:rsidP="00457424">
      <w:pPr>
        <w:tabs>
          <w:tab w:val="left" w:pos="1843"/>
        </w:tabs>
        <w:jc w:val="both"/>
        <w:rPr>
          <w:rFonts w:asciiTheme="majorHAnsi" w:hAnsiTheme="majorHAnsi" w:cstheme="majorHAnsi"/>
        </w:rPr>
      </w:pPr>
    </w:p>
    <w:p w14:paraId="574104E5" w14:textId="64F18516" w:rsidR="005A3541" w:rsidRPr="00A37D89" w:rsidRDefault="00B804E4" w:rsidP="00457424">
      <w:pPr>
        <w:tabs>
          <w:tab w:val="left" w:pos="1843"/>
        </w:tabs>
        <w:jc w:val="both"/>
        <w:rPr>
          <w:rFonts w:asciiTheme="majorHAnsi" w:hAnsiTheme="majorHAnsi" w:cstheme="majorHAnsi"/>
        </w:rPr>
      </w:pPr>
      <w:r w:rsidRPr="00A37D89">
        <w:rPr>
          <w:rFonts w:asciiTheme="majorHAnsi" w:hAnsiTheme="majorHAnsi" w:cstheme="majorHAnsi"/>
        </w:rPr>
        <w:t xml:space="preserve">A Care Order was therefore made, and the local authority’s care plan for contact – which was agreed by the parents and the </w:t>
      </w:r>
      <w:r w:rsidR="00680DF3" w:rsidRPr="00A37D89">
        <w:rPr>
          <w:rFonts w:asciiTheme="majorHAnsi" w:hAnsiTheme="majorHAnsi" w:cstheme="majorHAnsi"/>
        </w:rPr>
        <w:t>C</w:t>
      </w:r>
      <w:r w:rsidRPr="00A37D89">
        <w:rPr>
          <w:rFonts w:asciiTheme="majorHAnsi" w:hAnsiTheme="majorHAnsi" w:cstheme="majorHAnsi"/>
        </w:rPr>
        <w:t xml:space="preserve">hildren’s Guardian – was endorsed by the court. </w:t>
      </w:r>
    </w:p>
    <w:p w14:paraId="4D40BEC4" w14:textId="77777777" w:rsidR="002F5AC8" w:rsidRPr="00A37D89" w:rsidRDefault="002F5AC8" w:rsidP="00457424">
      <w:pPr>
        <w:tabs>
          <w:tab w:val="left" w:pos="1843"/>
        </w:tabs>
        <w:jc w:val="both"/>
        <w:rPr>
          <w:rFonts w:asciiTheme="majorHAnsi" w:hAnsiTheme="majorHAnsi" w:cstheme="majorHAnsi"/>
        </w:rPr>
      </w:pPr>
    </w:p>
    <w:p w14:paraId="75270CF5" w14:textId="4C644E05" w:rsidR="002F5AC8" w:rsidRPr="00A37D89" w:rsidRDefault="002F5AC8" w:rsidP="00457424">
      <w:pPr>
        <w:tabs>
          <w:tab w:val="left" w:pos="1843"/>
        </w:tabs>
        <w:jc w:val="both"/>
        <w:rPr>
          <w:rFonts w:asciiTheme="majorHAnsi" w:hAnsiTheme="majorHAnsi" w:cstheme="majorHAnsi"/>
          <w:b/>
          <w:bCs/>
        </w:rPr>
      </w:pPr>
      <w:r w:rsidRPr="00A37D89">
        <w:rPr>
          <w:rFonts w:asciiTheme="majorHAnsi" w:hAnsiTheme="majorHAnsi" w:cstheme="majorHAnsi"/>
          <w:b/>
          <w:bCs/>
        </w:rPr>
        <w:t>Intermediaries</w:t>
      </w:r>
    </w:p>
    <w:p w14:paraId="2E299172" w14:textId="77777777" w:rsidR="002F5AC8" w:rsidRPr="00A37D89" w:rsidRDefault="002F5AC8" w:rsidP="00457424">
      <w:pPr>
        <w:tabs>
          <w:tab w:val="left" w:pos="1843"/>
        </w:tabs>
        <w:jc w:val="both"/>
        <w:rPr>
          <w:rFonts w:asciiTheme="majorHAnsi" w:hAnsiTheme="majorHAnsi" w:cstheme="majorHAnsi"/>
        </w:rPr>
      </w:pPr>
    </w:p>
    <w:p w14:paraId="4E91760E" w14:textId="371D7277" w:rsidR="002F5AC8" w:rsidRPr="00A37D89" w:rsidRDefault="0007298B" w:rsidP="00457424">
      <w:pPr>
        <w:tabs>
          <w:tab w:val="left" w:pos="1843"/>
        </w:tabs>
        <w:jc w:val="both"/>
        <w:rPr>
          <w:rFonts w:asciiTheme="majorHAnsi" w:hAnsiTheme="majorHAnsi" w:cstheme="majorHAnsi"/>
        </w:rPr>
      </w:pPr>
      <w:r w:rsidRPr="00A37D89">
        <w:rPr>
          <w:rFonts w:asciiTheme="majorHAnsi" w:hAnsiTheme="majorHAnsi" w:cstheme="majorHAnsi"/>
        </w:rPr>
        <w:t xml:space="preserve">The judge defined intermediaries as </w:t>
      </w:r>
      <w:r w:rsidRPr="00A37D89">
        <w:rPr>
          <w:rFonts w:asciiTheme="majorHAnsi" w:hAnsiTheme="majorHAnsi" w:cstheme="majorHAnsi"/>
          <w:i/>
          <w:iCs/>
        </w:rPr>
        <w:t>‘impartial communication specialists, whose primary responsibility is to facilitate and enable complete, coherent and accurate communication between all parties and to ensure the vulnerable person's understanding and participation in the proceedings’</w:t>
      </w:r>
      <w:r w:rsidR="0076191B" w:rsidRPr="00A37D89">
        <w:rPr>
          <w:rFonts w:asciiTheme="majorHAnsi" w:hAnsiTheme="majorHAnsi" w:cstheme="majorHAnsi"/>
        </w:rPr>
        <w:t xml:space="preserve">.  </w:t>
      </w:r>
    </w:p>
    <w:p w14:paraId="7AD853CA" w14:textId="77777777" w:rsidR="0007298B" w:rsidRPr="00A37D89" w:rsidRDefault="0007298B" w:rsidP="00457424">
      <w:pPr>
        <w:tabs>
          <w:tab w:val="left" w:pos="1843"/>
        </w:tabs>
        <w:jc w:val="both"/>
        <w:rPr>
          <w:rFonts w:asciiTheme="majorHAnsi" w:hAnsiTheme="majorHAnsi" w:cstheme="majorHAnsi"/>
        </w:rPr>
      </w:pPr>
    </w:p>
    <w:p w14:paraId="2C784349" w14:textId="4988A535" w:rsidR="00F55166" w:rsidRPr="00A37D89" w:rsidRDefault="00F55166" w:rsidP="00457424">
      <w:pPr>
        <w:tabs>
          <w:tab w:val="left" w:pos="1843"/>
        </w:tabs>
        <w:jc w:val="both"/>
        <w:rPr>
          <w:rFonts w:asciiTheme="majorHAnsi" w:hAnsiTheme="majorHAnsi" w:cstheme="majorHAnsi"/>
        </w:rPr>
      </w:pPr>
      <w:r w:rsidRPr="00A37D89">
        <w:rPr>
          <w:rFonts w:asciiTheme="majorHAnsi" w:hAnsiTheme="majorHAnsi" w:cstheme="majorHAnsi"/>
        </w:rPr>
        <w:t xml:space="preserve">The role of an intermediary was </w:t>
      </w:r>
      <w:r w:rsidR="00680DF3" w:rsidRPr="00A37D89">
        <w:rPr>
          <w:rFonts w:asciiTheme="majorHAnsi" w:hAnsiTheme="majorHAnsi" w:cstheme="majorHAnsi"/>
        </w:rPr>
        <w:t xml:space="preserve">also </w:t>
      </w:r>
      <w:r w:rsidRPr="00A37D89">
        <w:rPr>
          <w:rFonts w:asciiTheme="majorHAnsi" w:hAnsiTheme="majorHAnsi" w:cstheme="majorHAnsi"/>
        </w:rPr>
        <w:t>defined:</w:t>
      </w:r>
    </w:p>
    <w:p w14:paraId="64C63031" w14:textId="2AF8BFC6" w:rsidR="00F55166" w:rsidRPr="00A37D89" w:rsidRDefault="00F55166" w:rsidP="00F55166">
      <w:pPr>
        <w:pStyle w:val="ListParagraph"/>
        <w:numPr>
          <w:ilvl w:val="0"/>
          <w:numId w:val="6"/>
        </w:numPr>
        <w:tabs>
          <w:tab w:val="left" w:pos="1843"/>
        </w:tabs>
        <w:jc w:val="both"/>
        <w:rPr>
          <w:rFonts w:asciiTheme="majorHAnsi" w:hAnsiTheme="majorHAnsi" w:cstheme="majorHAnsi"/>
        </w:rPr>
      </w:pPr>
      <w:r w:rsidRPr="00A37D89">
        <w:rPr>
          <w:rFonts w:asciiTheme="majorHAnsi" w:hAnsiTheme="majorHAnsi" w:cstheme="majorHAnsi"/>
        </w:rPr>
        <w:lastRenderedPageBreak/>
        <w:t>the primary responsibility of an intermediary is to facilitate and enable complete, coherent and accurate communication between all parties and ensure the vulnerable p</w:t>
      </w:r>
      <w:r w:rsidR="00821E9B" w:rsidRPr="00A37D89">
        <w:rPr>
          <w:rFonts w:asciiTheme="majorHAnsi" w:hAnsiTheme="majorHAnsi" w:cstheme="majorHAnsi"/>
        </w:rPr>
        <w:t>erson’s understanding and participation in the proceedings</w:t>
      </w:r>
      <w:r w:rsidRPr="00A37D89">
        <w:rPr>
          <w:rFonts w:asciiTheme="majorHAnsi" w:hAnsiTheme="majorHAnsi" w:cstheme="majorHAnsi"/>
        </w:rPr>
        <w:t>;</w:t>
      </w:r>
    </w:p>
    <w:p w14:paraId="120E9094" w14:textId="176502B2" w:rsidR="00F55166" w:rsidRPr="00A37D89" w:rsidRDefault="00F55166" w:rsidP="00F55166">
      <w:pPr>
        <w:pStyle w:val="ListParagraph"/>
        <w:numPr>
          <w:ilvl w:val="0"/>
          <w:numId w:val="6"/>
        </w:numPr>
        <w:tabs>
          <w:tab w:val="left" w:pos="1843"/>
        </w:tabs>
        <w:jc w:val="both"/>
        <w:rPr>
          <w:rFonts w:asciiTheme="majorHAnsi" w:hAnsiTheme="majorHAnsi" w:cstheme="majorHAnsi"/>
        </w:rPr>
      </w:pPr>
      <w:r w:rsidRPr="00A37D89">
        <w:rPr>
          <w:rFonts w:asciiTheme="majorHAnsi" w:hAnsiTheme="majorHAnsi" w:cstheme="majorHAnsi"/>
        </w:rPr>
        <w:t xml:space="preserve">make an assessment of and report on the communication needs of the vulnerable person as well as the steps that should be taken to meet those needs; </w:t>
      </w:r>
    </w:p>
    <w:p w14:paraId="4855FA5D" w14:textId="59FFE7B7" w:rsidR="00F55166" w:rsidRPr="00A37D89" w:rsidRDefault="00F55166" w:rsidP="00F55166">
      <w:pPr>
        <w:pStyle w:val="ListParagraph"/>
        <w:numPr>
          <w:ilvl w:val="0"/>
          <w:numId w:val="6"/>
        </w:numPr>
        <w:tabs>
          <w:tab w:val="left" w:pos="1843"/>
        </w:tabs>
        <w:jc w:val="both"/>
        <w:rPr>
          <w:rFonts w:asciiTheme="majorHAnsi" w:hAnsiTheme="majorHAnsi" w:cstheme="majorHAnsi"/>
        </w:rPr>
      </w:pPr>
      <w:r w:rsidRPr="00A37D89">
        <w:rPr>
          <w:rFonts w:asciiTheme="majorHAnsi" w:hAnsiTheme="majorHAnsi" w:cstheme="majorHAnsi"/>
        </w:rPr>
        <w:t>to assist and advise the judge</w:t>
      </w:r>
      <w:r w:rsidR="00821E9B" w:rsidRPr="00A37D89">
        <w:rPr>
          <w:rFonts w:asciiTheme="majorHAnsi" w:hAnsiTheme="majorHAnsi" w:cstheme="majorHAnsi"/>
        </w:rPr>
        <w:t xml:space="preserve">; and </w:t>
      </w:r>
    </w:p>
    <w:p w14:paraId="7D9526EB" w14:textId="2FD34050" w:rsidR="00821E9B" w:rsidRPr="00A37D89" w:rsidRDefault="00821E9B" w:rsidP="00F55166">
      <w:pPr>
        <w:pStyle w:val="ListParagraph"/>
        <w:numPr>
          <w:ilvl w:val="0"/>
          <w:numId w:val="6"/>
        </w:numPr>
        <w:tabs>
          <w:tab w:val="left" w:pos="1843"/>
        </w:tabs>
        <w:jc w:val="both"/>
        <w:rPr>
          <w:rFonts w:asciiTheme="majorHAnsi" w:hAnsiTheme="majorHAnsi" w:cstheme="majorHAnsi"/>
        </w:rPr>
      </w:pPr>
      <w:r w:rsidRPr="00A37D89">
        <w:rPr>
          <w:rFonts w:asciiTheme="majorHAnsi" w:hAnsiTheme="majorHAnsi" w:cstheme="majorHAnsi"/>
        </w:rPr>
        <w:t xml:space="preserve">prevent miscommunication and intervene actively when miscommunication may or is likely to have occurred or be occurring. </w:t>
      </w:r>
    </w:p>
    <w:p w14:paraId="0D982538" w14:textId="77777777" w:rsidR="00821E9B" w:rsidRPr="00A37D89" w:rsidRDefault="00821E9B" w:rsidP="00821E9B">
      <w:pPr>
        <w:tabs>
          <w:tab w:val="left" w:pos="1843"/>
        </w:tabs>
        <w:jc w:val="both"/>
        <w:rPr>
          <w:rFonts w:asciiTheme="majorHAnsi" w:hAnsiTheme="majorHAnsi" w:cstheme="majorHAnsi"/>
        </w:rPr>
      </w:pPr>
    </w:p>
    <w:p w14:paraId="471AE52C" w14:textId="299060E2" w:rsidR="00821E9B" w:rsidRPr="00A37D89" w:rsidRDefault="00821E9B" w:rsidP="00821E9B">
      <w:pPr>
        <w:tabs>
          <w:tab w:val="left" w:pos="1843"/>
        </w:tabs>
        <w:jc w:val="both"/>
        <w:rPr>
          <w:rFonts w:asciiTheme="majorHAnsi" w:hAnsiTheme="majorHAnsi" w:cstheme="majorHAnsi"/>
        </w:rPr>
      </w:pPr>
      <w:r w:rsidRPr="00A37D89">
        <w:rPr>
          <w:rFonts w:asciiTheme="majorHAnsi" w:hAnsiTheme="majorHAnsi" w:cstheme="majorHAnsi"/>
        </w:rPr>
        <w:t xml:space="preserve">The judge also said that ‘explanation time’ is almost always necessary to allow the intermediary to explain to the vulnerable person what has happened and is about to happen. </w:t>
      </w:r>
    </w:p>
    <w:p w14:paraId="02D2CA4A" w14:textId="77777777" w:rsidR="002F5AC8" w:rsidRPr="00A37D89" w:rsidRDefault="002F5AC8" w:rsidP="00457424">
      <w:pPr>
        <w:tabs>
          <w:tab w:val="left" w:pos="1843"/>
        </w:tabs>
        <w:jc w:val="both"/>
        <w:rPr>
          <w:rFonts w:asciiTheme="majorHAnsi" w:hAnsiTheme="majorHAnsi" w:cstheme="majorHAnsi"/>
        </w:rPr>
      </w:pPr>
    </w:p>
    <w:p w14:paraId="0B178C0A" w14:textId="77777777" w:rsidR="00B75A9E" w:rsidRPr="00A37D89" w:rsidRDefault="002F5AC8" w:rsidP="002F5AC8">
      <w:pPr>
        <w:tabs>
          <w:tab w:val="left" w:pos="1843"/>
        </w:tabs>
        <w:jc w:val="both"/>
        <w:rPr>
          <w:rFonts w:asciiTheme="majorHAnsi" w:hAnsiTheme="majorHAnsi" w:cstheme="majorHAnsi"/>
        </w:rPr>
      </w:pPr>
      <w:r w:rsidRPr="00A37D89">
        <w:rPr>
          <w:rFonts w:asciiTheme="majorHAnsi" w:hAnsiTheme="majorHAnsi" w:cstheme="majorHAnsi"/>
        </w:rPr>
        <w:t xml:space="preserve">The judge said the use of intermediaries was </w:t>
      </w:r>
      <w:r w:rsidRPr="00A37D89">
        <w:rPr>
          <w:rFonts w:asciiTheme="majorHAnsi" w:hAnsiTheme="majorHAnsi" w:cstheme="majorHAnsi"/>
          <w:b/>
          <w:bCs/>
        </w:rPr>
        <w:t xml:space="preserve">compelling, necessary and wholly essential </w:t>
      </w:r>
      <w:r w:rsidRPr="00A37D89">
        <w:rPr>
          <w:rFonts w:asciiTheme="majorHAnsi" w:hAnsiTheme="majorHAnsi" w:cstheme="majorHAnsi"/>
        </w:rPr>
        <w:t xml:space="preserve">for the parents to be assisted by intermediaries in light of their vulnerabilities, individual cognitive profiles and specific communication needs in order to enable </w:t>
      </w:r>
      <w:r w:rsidRPr="00A37D89">
        <w:rPr>
          <w:rFonts w:asciiTheme="majorHAnsi" w:hAnsiTheme="majorHAnsi" w:cstheme="majorHAnsi"/>
          <w:b/>
          <w:bCs/>
        </w:rPr>
        <w:t xml:space="preserve">meaningful and informed </w:t>
      </w:r>
      <w:r w:rsidRPr="00A37D89">
        <w:rPr>
          <w:rFonts w:asciiTheme="majorHAnsi" w:hAnsiTheme="majorHAnsi" w:cstheme="majorHAnsi"/>
        </w:rPr>
        <w:t xml:space="preserve">participation in the Final Hearing and to ensure that their </w:t>
      </w:r>
      <w:proofErr w:type="gramStart"/>
      <w:r w:rsidRPr="00A37D89">
        <w:rPr>
          <w:rFonts w:asciiTheme="majorHAnsi" w:hAnsiTheme="majorHAnsi" w:cstheme="majorHAnsi"/>
          <w:b/>
          <w:bCs/>
        </w:rPr>
        <w:t>Article</w:t>
      </w:r>
      <w:proofErr w:type="gramEnd"/>
      <w:r w:rsidRPr="00A37D89">
        <w:rPr>
          <w:rFonts w:asciiTheme="majorHAnsi" w:hAnsiTheme="majorHAnsi" w:cstheme="majorHAnsi"/>
          <w:b/>
          <w:bCs/>
        </w:rPr>
        <w:t xml:space="preserve"> 6 rights were protected</w:t>
      </w:r>
      <w:r w:rsidRPr="00A37D89">
        <w:rPr>
          <w:rFonts w:asciiTheme="majorHAnsi" w:hAnsiTheme="majorHAnsi" w:cstheme="majorHAnsi"/>
        </w:rPr>
        <w:t xml:space="preserve">. </w:t>
      </w:r>
    </w:p>
    <w:p w14:paraId="158AC385" w14:textId="77777777" w:rsidR="00B75A9E" w:rsidRPr="00A37D89" w:rsidRDefault="00B75A9E" w:rsidP="002F5AC8">
      <w:pPr>
        <w:tabs>
          <w:tab w:val="left" w:pos="1843"/>
        </w:tabs>
        <w:jc w:val="both"/>
        <w:rPr>
          <w:rFonts w:asciiTheme="majorHAnsi" w:hAnsiTheme="majorHAnsi" w:cstheme="majorHAnsi"/>
        </w:rPr>
      </w:pPr>
    </w:p>
    <w:p w14:paraId="715A1E45" w14:textId="3E2C42BA" w:rsidR="00C73778" w:rsidRPr="00A37D89" w:rsidRDefault="00C73778" w:rsidP="002F5AC8">
      <w:pPr>
        <w:tabs>
          <w:tab w:val="left" w:pos="1843"/>
        </w:tabs>
        <w:jc w:val="both"/>
        <w:rPr>
          <w:rFonts w:asciiTheme="majorHAnsi" w:hAnsiTheme="majorHAnsi" w:cstheme="majorHAnsi"/>
          <w:b/>
          <w:bCs/>
        </w:rPr>
      </w:pPr>
      <w:r w:rsidRPr="00A37D89">
        <w:rPr>
          <w:rFonts w:asciiTheme="majorHAnsi" w:hAnsiTheme="majorHAnsi" w:cstheme="majorHAnsi"/>
          <w:b/>
          <w:bCs/>
        </w:rPr>
        <w:t xml:space="preserve">‘Whole trial’ </w:t>
      </w:r>
      <w:r w:rsidR="006574B0" w:rsidRPr="00A37D89">
        <w:rPr>
          <w:rFonts w:asciiTheme="majorHAnsi" w:hAnsiTheme="majorHAnsi" w:cstheme="majorHAnsi"/>
          <w:b/>
          <w:bCs/>
        </w:rPr>
        <w:t>o</w:t>
      </w:r>
      <w:r w:rsidRPr="00A37D89">
        <w:rPr>
          <w:rFonts w:asciiTheme="majorHAnsi" w:hAnsiTheme="majorHAnsi" w:cstheme="majorHAnsi"/>
          <w:b/>
          <w:bCs/>
        </w:rPr>
        <w:t>rders</w:t>
      </w:r>
    </w:p>
    <w:p w14:paraId="3D4F6500" w14:textId="77777777" w:rsidR="00C73778" w:rsidRPr="00A37D89" w:rsidRDefault="00C73778" w:rsidP="002F5AC8">
      <w:pPr>
        <w:tabs>
          <w:tab w:val="left" w:pos="1843"/>
        </w:tabs>
        <w:jc w:val="both"/>
        <w:rPr>
          <w:rFonts w:asciiTheme="majorHAnsi" w:hAnsiTheme="majorHAnsi" w:cstheme="majorHAnsi"/>
        </w:rPr>
      </w:pPr>
    </w:p>
    <w:p w14:paraId="125DB6F9" w14:textId="6E6E43A8" w:rsidR="002F5AC8" w:rsidRPr="00A37D89" w:rsidRDefault="00B75A9E" w:rsidP="002F5AC8">
      <w:pPr>
        <w:tabs>
          <w:tab w:val="left" w:pos="1843"/>
        </w:tabs>
        <w:jc w:val="both"/>
        <w:rPr>
          <w:rFonts w:asciiTheme="majorHAnsi" w:hAnsiTheme="majorHAnsi" w:cstheme="majorHAnsi"/>
        </w:rPr>
      </w:pPr>
      <w:r w:rsidRPr="00A37D89">
        <w:rPr>
          <w:rFonts w:asciiTheme="majorHAnsi" w:hAnsiTheme="majorHAnsi" w:cstheme="majorHAnsi"/>
        </w:rPr>
        <w:t xml:space="preserve">The importance of intermediary assistance throughout the trial was said to be important due to the inquisitorial, problem-solving nature of care proceedings as well as the fact that these were circumstances where the parent’s Convention rights to private and family life were being interfered with by removing their children from their care. As well as this, </w:t>
      </w:r>
      <w:r w:rsidR="00611DDD" w:rsidRPr="00A37D89">
        <w:rPr>
          <w:rFonts w:asciiTheme="majorHAnsi" w:hAnsiTheme="majorHAnsi" w:cstheme="majorHAnsi"/>
        </w:rPr>
        <w:t>a ‘whole trial’ intermediary order furthers compliance with the overriding objective</w:t>
      </w:r>
      <w:r w:rsidR="00060E55" w:rsidRPr="00A37D89">
        <w:rPr>
          <w:rFonts w:asciiTheme="majorHAnsi" w:hAnsiTheme="majorHAnsi" w:cstheme="majorHAnsi"/>
        </w:rPr>
        <w:t xml:space="preserve"> and was found to be necessary to </w:t>
      </w:r>
      <w:r w:rsidR="00060E55" w:rsidRPr="00A37D89">
        <w:rPr>
          <w:rFonts w:asciiTheme="majorHAnsi" w:hAnsiTheme="majorHAnsi" w:cstheme="majorHAnsi"/>
          <w:i/>
          <w:iCs/>
        </w:rPr>
        <w:t>‘uphold the essential principles that Courts must take all steps possible to ensure that people with a learning disability are able to actively participate in decisions affecting their lives and that the Court must take steps to ensure that there are no barriers to justice within the process itself’</w:t>
      </w:r>
      <w:r w:rsidR="00060E55" w:rsidRPr="00A37D89">
        <w:rPr>
          <w:rFonts w:asciiTheme="majorHAnsi" w:hAnsiTheme="majorHAnsi" w:cstheme="majorHAnsi"/>
        </w:rPr>
        <w:t xml:space="preserve">. </w:t>
      </w:r>
    </w:p>
    <w:p w14:paraId="09F2B95B" w14:textId="0922930F" w:rsidR="002F5AC8" w:rsidRPr="00A37D89" w:rsidRDefault="00E81695" w:rsidP="00E81695">
      <w:pPr>
        <w:tabs>
          <w:tab w:val="left" w:pos="2322"/>
        </w:tabs>
        <w:jc w:val="both"/>
        <w:rPr>
          <w:rFonts w:asciiTheme="majorHAnsi" w:hAnsiTheme="majorHAnsi" w:cstheme="majorHAnsi"/>
        </w:rPr>
      </w:pPr>
      <w:r w:rsidRPr="00A37D89">
        <w:rPr>
          <w:rFonts w:asciiTheme="majorHAnsi" w:hAnsiTheme="majorHAnsi" w:cstheme="majorHAnsi"/>
        </w:rPr>
        <w:tab/>
      </w:r>
    </w:p>
    <w:p w14:paraId="4A97E078" w14:textId="3D0F92B5" w:rsidR="00C73778" w:rsidRPr="00A37D89" w:rsidRDefault="00E81695" w:rsidP="00E81695">
      <w:pPr>
        <w:tabs>
          <w:tab w:val="left" w:pos="2322"/>
        </w:tabs>
        <w:jc w:val="both"/>
        <w:rPr>
          <w:rFonts w:asciiTheme="majorHAnsi" w:hAnsiTheme="majorHAnsi" w:cstheme="majorHAnsi"/>
        </w:rPr>
      </w:pPr>
      <w:r w:rsidRPr="00A37D89">
        <w:rPr>
          <w:rFonts w:asciiTheme="majorHAnsi" w:hAnsiTheme="majorHAnsi" w:cstheme="majorHAnsi"/>
        </w:rPr>
        <w:t xml:space="preserve">The judge also commented that </w:t>
      </w:r>
      <w:r w:rsidRPr="00A37D89">
        <w:rPr>
          <w:rFonts w:asciiTheme="majorHAnsi" w:hAnsiTheme="majorHAnsi" w:cstheme="majorHAnsi"/>
          <w:i/>
          <w:iCs/>
        </w:rPr>
        <w:t xml:space="preserve">‘[on] the facts of this case, there could be no proper justification for any alternative order directing the intermediaries to assist for only part of the process’ </w:t>
      </w:r>
      <w:r w:rsidRPr="00A37D89">
        <w:rPr>
          <w:rFonts w:asciiTheme="majorHAnsi" w:hAnsiTheme="majorHAnsi" w:cstheme="majorHAnsi"/>
        </w:rPr>
        <w:t xml:space="preserve">which suggests that an assessment of whether a ‘whole trial’ order should be made is to be determined will turn on the facts of each case. </w:t>
      </w:r>
    </w:p>
    <w:p w14:paraId="15F6C3BC" w14:textId="77777777" w:rsidR="00B804E4" w:rsidRPr="00A37D89" w:rsidRDefault="00B804E4" w:rsidP="00457424">
      <w:pPr>
        <w:tabs>
          <w:tab w:val="left" w:pos="1843"/>
        </w:tabs>
        <w:jc w:val="both"/>
        <w:rPr>
          <w:rFonts w:asciiTheme="majorHAnsi" w:hAnsiTheme="majorHAnsi" w:cstheme="majorHAnsi"/>
        </w:rPr>
      </w:pPr>
    </w:p>
    <w:p w14:paraId="757748B8" w14:textId="33C21B53" w:rsidR="00B804E4" w:rsidRPr="00A37D89" w:rsidRDefault="006574B0" w:rsidP="00457424">
      <w:pPr>
        <w:tabs>
          <w:tab w:val="left" w:pos="1843"/>
        </w:tabs>
        <w:jc w:val="both"/>
        <w:rPr>
          <w:rFonts w:asciiTheme="majorHAnsi" w:hAnsiTheme="majorHAnsi" w:cstheme="majorHAnsi"/>
          <w:b/>
          <w:bCs/>
        </w:rPr>
      </w:pPr>
      <w:r w:rsidRPr="00A37D89">
        <w:rPr>
          <w:rFonts w:asciiTheme="majorHAnsi" w:hAnsiTheme="majorHAnsi" w:cstheme="majorHAnsi"/>
          <w:b/>
          <w:bCs/>
        </w:rPr>
        <w:t xml:space="preserve">Further Assistance for the Parents </w:t>
      </w:r>
    </w:p>
    <w:p w14:paraId="08D20848" w14:textId="77777777" w:rsidR="00480CBF" w:rsidRPr="00A37D89" w:rsidRDefault="00480CBF" w:rsidP="00457424">
      <w:pPr>
        <w:tabs>
          <w:tab w:val="left" w:pos="1843"/>
        </w:tabs>
        <w:jc w:val="both"/>
        <w:rPr>
          <w:rFonts w:asciiTheme="majorHAnsi" w:hAnsiTheme="majorHAnsi" w:cstheme="majorHAnsi"/>
        </w:rPr>
      </w:pPr>
    </w:p>
    <w:p w14:paraId="6D4AB1F0" w14:textId="6CD64543" w:rsidR="00786177" w:rsidRPr="00A37D89" w:rsidRDefault="00DB7FF4" w:rsidP="00457424">
      <w:pPr>
        <w:tabs>
          <w:tab w:val="left" w:pos="1843"/>
        </w:tabs>
        <w:jc w:val="both"/>
        <w:rPr>
          <w:rFonts w:asciiTheme="majorHAnsi" w:hAnsiTheme="majorHAnsi" w:cstheme="majorHAnsi"/>
        </w:rPr>
      </w:pPr>
      <w:r w:rsidRPr="00A37D89">
        <w:rPr>
          <w:rFonts w:asciiTheme="majorHAnsi" w:hAnsiTheme="majorHAnsi" w:cstheme="majorHAnsi"/>
        </w:rPr>
        <w:t xml:space="preserve">As well as the above, </w:t>
      </w:r>
      <w:r w:rsidR="00680DF3" w:rsidRPr="00A37D89">
        <w:rPr>
          <w:rFonts w:asciiTheme="majorHAnsi" w:hAnsiTheme="majorHAnsi" w:cstheme="majorHAnsi"/>
        </w:rPr>
        <w:t>‘</w:t>
      </w:r>
      <w:r w:rsidR="00786177" w:rsidRPr="00A37D89">
        <w:rPr>
          <w:rFonts w:asciiTheme="majorHAnsi" w:hAnsiTheme="majorHAnsi" w:cstheme="majorHAnsi"/>
          <w:i/>
          <w:iCs/>
        </w:rPr>
        <w:t>[having] regard to the parents' vulnerabilities, the Court ensured that judicial continuity was achieved throughout’</w:t>
      </w:r>
      <w:r w:rsidR="00786177" w:rsidRPr="00A37D89">
        <w:rPr>
          <w:rFonts w:asciiTheme="majorHAnsi" w:hAnsiTheme="majorHAnsi" w:cstheme="majorHAnsi"/>
        </w:rPr>
        <w:t xml:space="preserve"> and it was said that the parents had the benefit of </w:t>
      </w:r>
      <w:r w:rsidR="00786177" w:rsidRPr="00A37D89">
        <w:rPr>
          <w:rFonts w:asciiTheme="majorHAnsi" w:hAnsiTheme="majorHAnsi" w:cstheme="majorHAnsi"/>
          <w:i/>
          <w:iCs/>
        </w:rPr>
        <w:t>‘highly experienced, specialist counsel’</w:t>
      </w:r>
      <w:r w:rsidR="00786177" w:rsidRPr="00A37D89">
        <w:rPr>
          <w:rFonts w:asciiTheme="majorHAnsi" w:hAnsiTheme="majorHAnsi" w:cstheme="majorHAnsi"/>
        </w:rPr>
        <w:t xml:space="preserve">. </w:t>
      </w:r>
    </w:p>
    <w:p w14:paraId="02743D26" w14:textId="77777777" w:rsidR="00786177" w:rsidRPr="00A37D89" w:rsidRDefault="00786177" w:rsidP="00457424">
      <w:pPr>
        <w:tabs>
          <w:tab w:val="left" w:pos="1843"/>
        </w:tabs>
        <w:jc w:val="both"/>
        <w:rPr>
          <w:rFonts w:asciiTheme="majorHAnsi" w:hAnsiTheme="majorHAnsi" w:cstheme="majorHAnsi"/>
        </w:rPr>
      </w:pPr>
    </w:p>
    <w:p w14:paraId="79ABC898" w14:textId="3AA8BB73" w:rsidR="00457424" w:rsidRPr="00A37D89" w:rsidRDefault="00480CBF" w:rsidP="00457424">
      <w:pPr>
        <w:tabs>
          <w:tab w:val="left" w:pos="1843"/>
        </w:tabs>
        <w:jc w:val="both"/>
        <w:rPr>
          <w:rFonts w:asciiTheme="majorHAnsi" w:hAnsiTheme="majorHAnsi" w:cstheme="majorHAnsi"/>
        </w:rPr>
      </w:pPr>
      <w:r w:rsidRPr="00A37D89">
        <w:rPr>
          <w:rFonts w:asciiTheme="majorHAnsi" w:hAnsiTheme="majorHAnsi" w:cstheme="majorHAnsi"/>
        </w:rPr>
        <w:t xml:space="preserve">Further, a ground rules hearing </w:t>
      </w:r>
      <w:r w:rsidR="00680DF3" w:rsidRPr="00A37D89">
        <w:rPr>
          <w:rFonts w:asciiTheme="majorHAnsi" w:hAnsiTheme="majorHAnsi" w:cstheme="majorHAnsi"/>
        </w:rPr>
        <w:t xml:space="preserve">had taken place </w:t>
      </w:r>
      <w:r w:rsidRPr="00A37D89">
        <w:rPr>
          <w:rFonts w:asciiTheme="majorHAnsi" w:hAnsiTheme="majorHAnsi" w:cstheme="majorHAnsi"/>
        </w:rPr>
        <w:t xml:space="preserve">as part of the IRH and </w:t>
      </w:r>
      <w:r w:rsidRPr="00A37D89">
        <w:rPr>
          <w:rFonts w:asciiTheme="majorHAnsi" w:hAnsiTheme="majorHAnsi" w:cstheme="majorHAnsi"/>
          <w:i/>
          <w:iCs/>
        </w:rPr>
        <w:t xml:space="preserve">‘[those] ground rules were revisited during the Final Hearing, necessary to assist both parents' participation in the </w:t>
      </w:r>
      <w:proofErr w:type="gramStart"/>
      <w:r w:rsidRPr="00A37D89">
        <w:rPr>
          <w:rFonts w:asciiTheme="majorHAnsi" w:hAnsiTheme="majorHAnsi" w:cstheme="majorHAnsi"/>
          <w:i/>
          <w:iCs/>
        </w:rPr>
        <w:t>proceedings</w:t>
      </w:r>
      <w:r w:rsidR="00C73778" w:rsidRPr="00A37D89">
        <w:rPr>
          <w:rFonts w:asciiTheme="majorHAnsi" w:hAnsiTheme="majorHAnsi" w:cstheme="majorHAnsi"/>
          <w:i/>
          <w:iCs/>
        </w:rPr>
        <w:t>’</w:t>
      </w:r>
      <w:proofErr w:type="gramEnd"/>
      <w:r w:rsidRPr="00A37D89">
        <w:rPr>
          <w:rFonts w:asciiTheme="majorHAnsi" w:hAnsiTheme="majorHAnsi" w:cstheme="majorHAnsi"/>
        </w:rPr>
        <w:t xml:space="preserve">. </w:t>
      </w:r>
      <w:r w:rsidR="00457424" w:rsidRPr="00A37D89">
        <w:rPr>
          <w:rFonts w:asciiTheme="majorHAnsi" w:hAnsiTheme="majorHAnsi" w:cstheme="majorHAnsi"/>
        </w:rPr>
        <w:t xml:space="preserve"> </w:t>
      </w:r>
    </w:p>
    <w:p w14:paraId="1D42C1C0" w14:textId="77777777" w:rsidR="000675BE" w:rsidRPr="00A37D89" w:rsidRDefault="000675BE" w:rsidP="00540F54">
      <w:pPr>
        <w:tabs>
          <w:tab w:val="left" w:pos="1843"/>
        </w:tabs>
        <w:jc w:val="both"/>
        <w:rPr>
          <w:rFonts w:asciiTheme="majorHAnsi" w:hAnsiTheme="majorHAnsi" w:cstheme="majorHAnsi"/>
        </w:rPr>
      </w:pPr>
    </w:p>
    <w:p w14:paraId="3D7844AF" w14:textId="67DE713B" w:rsidR="00CB2C49" w:rsidRPr="00A37D89" w:rsidRDefault="00CB2C49" w:rsidP="00540F54">
      <w:pPr>
        <w:tabs>
          <w:tab w:val="left" w:pos="1843"/>
        </w:tabs>
        <w:jc w:val="both"/>
        <w:rPr>
          <w:rFonts w:asciiTheme="majorHAnsi" w:hAnsiTheme="majorHAnsi" w:cstheme="majorHAnsi"/>
        </w:rPr>
      </w:pPr>
    </w:p>
    <w:p w14:paraId="4C324AA7" w14:textId="77777777" w:rsidR="00456179" w:rsidRPr="00A37D89" w:rsidRDefault="00456179" w:rsidP="00540F54">
      <w:pPr>
        <w:tabs>
          <w:tab w:val="left" w:pos="1843"/>
        </w:tabs>
        <w:jc w:val="both"/>
        <w:rPr>
          <w:rFonts w:asciiTheme="majorHAnsi" w:hAnsiTheme="majorHAnsi" w:cstheme="majorHAnsi"/>
        </w:rPr>
      </w:pPr>
    </w:p>
    <w:p w14:paraId="35E87B72" w14:textId="77777777" w:rsidR="00456179" w:rsidRPr="00A37D89" w:rsidRDefault="00456179" w:rsidP="00540F54">
      <w:pPr>
        <w:pStyle w:val="Header"/>
        <w:jc w:val="right"/>
        <w:rPr>
          <w:rFonts w:asciiTheme="majorHAnsi" w:hAnsiTheme="majorHAnsi" w:cstheme="majorHAnsi"/>
          <w:b/>
          <w:bCs/>
        </w:rPr>
      </w:pPr>
      <w:r w:rsidRPr="00A37D89">
        <w:rPr>
          <w:rFonts w:asciiTheme="majorHAnsi" w:hAnsiTheme="majorHAnsi" w:cstheme="majorHAnsi"/>
          <w:b/>
          <w:bCs/>
        </w:rPr>
        <w:t>Mahnoor Javed</w:t>
      </w:r>
    </w:p>
    <w:p w14:paraId="32D49EA1" w14:textId="77777777" w:rsidR="00456179" w:rsidRPr="00A37D89" w:rsidRDefault="00456179" w:rsidP="00540F54">
      <w:pPr>
        <w:pStyle w:val="Header"/>
        <w:jc w:val="right"/>
        <w:rPr>
          <w:rFonts w:asciiTheme="majorHAnsi" w:hAnsiTheme="majorHAnsi" w:cstheme="majorHAnsi"/>
          <w:b/>
          <w:bCs/>
        </w:rPr>
      </w:pPr>
      <w:r w:rsidRPr="00A37D89">
        <w:rPr>
          <w:rFonts w:asciiTheme="majorHAnsi" w:hAnsiTheme="majorHAnsi" w:cstheme="majorHAnsi"/>
          <w:b/>
          <w:bCs/>
        </w:rPr>
        <w:lastRenderedPageBreak/>
        <w:t>Pupil</w:t>
      </w:r>
    </w:p>
    <w:p w14:paraId="21D654A4" w14:textId="77777777" w:rsidR="00456179" w:rsidRPr="00A37D89" w:rsidRDefault="00456179" w:rsidP="00540F54">
      <w:pPr>
        <w:pStyle w:val="Header"/>
        <w:jc w:val="right"/>
        <w:rPr>
          <w:rFonts w:asciiTheme="majorHAnsi" w:hAnsiTheme="majorHAnsi" w:cstheme="majorHAnsi"/>
          <w:b/>
          <w:bCs/>
        </w:rPr>
      </w:pPr>
      <w:r w:rsidRPr="00A37D89">
        <w:rPr>
          <w:rFonts w:asciiTheme="majorHAnsi" w:hAnsiTheme="majorHAnsi" w:cstheme="majorHAnsi"/>
          <w:b/>
          <w:bCs/>
        </w:rPr>
        <w:t>4 Brick Court</w:t>
      </w:r>
    </w:p>
    <w:p w14:paraId="419CC2C3" w14:textId="0EAE4962" w:rsidR="00456179" w:rsidRPr="00A37D89" w:rsidRDefault="00456179" w:rsidP="003311B2">
      <w:pPr>
        <w:pStyle w:val="Header"/>
        <w:jc w:val="right"/>
        <w:rPr>
          <w:rFonts w:asciiTheme="majorHAnsi" w:hAnsiTheme="majorHAnsi" w:cstheme="majorHAnsi"/>
          <w:b/>
          <w:bCs/>
        </w:rPr>
      </w:pPr>
      <w:r w:rsidRPr="00A37D89">
        <w:rPr>
          <w:rFonts w:asciiTheme="majorHAnsi" w:hAnsiTheme="majorHAnsi" w:cstheme="majorHAnsi"/>
          <w:b/>
          <w:bCs/>
        </w:rPr>
        <w:t>January 2024</w:t>
      </w:r>
    </w:p>
    <w:sectPr w:rsidR="00456179" w:rsidRPr="00A37D8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61C" w14:textId="77777777" w:rsidR="00002312" w:rsidRDefault="00002312" w:rsidP="00D16651">
      <w:r>
        <w:separator/>
      </w:r>
    </w:p>
  </w:endnote>
  <w:endnote w:type="continuationSeparator" w:id="0">
    <w:p w14:paraId="4DE661D5" w14:textId="77777777" w:rsidR="00002312" w:rsidRDefault="00002312" w:rsidP="00D1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6AF5" w14:textId="77777777" w:rsidR="00002312" w:rsidRDefault="00002312" w:rsidP="00D16651">
      <w:r>
        <w:separator/>
      </w:r>
    </w:p>
  </w:footnote>
  <w:footnote w:type="continuationSeparator" w:id="0">
    <w:p w14:paraId="2481BB1F" w14:textId="77777777" w:rsidR="00002312" w:rsidRDefault="00002312" w:rsidP="00D1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9DEC" w14:textId="77777777" w:rsidR="007276D7" w:rsidRPr="00DB6E57" w:rsidRDefault="007276D7" w:rsidP="00D16651">
    <w:pPr>
      <w:pStyle w:val="Header"/>
      <w:jc w:val="right"/>
      <w:rPr>
        <w:rFonts w:asciiTheme="majorHAnsi" w:hAnsiTheme="majorHAnsi" w:cstheme="majorHAnsi"/>
      </w:rPr>
    </w:pPr>
  </w:p>
  <w:p w14:paraId="5CCA169A" w14:textId="77777777" w:rsidR="00D16651" w:rsidRPr="00DB6E57" w:rsidRDefault="00D16651" w:rsidP="00D16651">
    <w:pPr>
      <w:pStyle w:val="Header"/>
      <w:jc w:val="right"/>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61980"/>
    <w:multiLevelType w:val="hybridMultilevel"/>
    <w:tmpl w:val="DF1A96F4"/>
    <w:lvl w:ilvl="0" w:tplc="3B905B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4501F"/>
    <w:multiLevelType w:val="hybridMultilevel"/>
    <w:tmpl w:val="D72AE528"/>
    <w:lvl w:ilvl="0" w:tplc="DEEECE46">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1F73FF"/>
    <w:multiLevelType w:val="hybridMultilevel"/>
    <w:tmpl w:val="43F43F06"/>
    <w:lvl w:ilvl="0" w:tplc="2E70D8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6A0625"/>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679341A2"/>
    <w:multiLevelType w:val="hybridMultilevel"/>
    <w:tmpl w:val="F5742EA0"/>
    <w:lvl w:ilvl="0" w:tplc="C9AED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1458A9"/>
    <w:multiLevelType w:val="hybridMultilevel"/>
    <w:tmpl w:val="69D0AA7A"/>
    <w:lvl w:ilvl="0" w:tplc="A3C2BC3A">
      <w:start w:val="1"/>
      <w:numFmt w:val="lowerRoman"/>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761600">
    <w:abstractNumId w:val="1"/>
  </w:num>
  <w:num w:numId="2" w16cid:durableId="486701748">
    <w:abstractNumId w:val="5"/>
  </w:num>
  <w:num w:numId="3" w16cid:durableId="371999226">
    <w:abstractNumId w:val="3"/>
  </w:num>
  <w:num w:numId="4" w16cid:durableId="406922766">
    <w:abstractNumId w:val="0"/>
  </w:num>
  <w:num w:numId="5" w16cid:durableId="508829915">
    <w:abstractNumId w:val="2"/>
  </w:num>
  <w:num w:numId="6" w16cid:durableId="1557620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51"/>
    <w:rsid w:val="00002312"/>
    <w:rsid w:val="00035D06"/>
    <w:rsid w:val="000432A6"/>
    <w:rsid w:val="00060E55"/>
    <w:rsid w:val="000675BE"/>
    <w:rsid w:val="0007298B"/>
    <w:rsid w:val="00095E4F"/>
    <w:rsid w:val="000C159B"/>
    <w:rsid w:val="000C6219"/>
    <w:rsid w:val="000E263C"/>
    <w:rsid w:val="001F44C2"/>
    <w:rsid w:val="00250E3E"/>
    <w:rsid w:val="0028151A"/>
    <w:rsid w:val="002E0E48"/>
    <w:rsid w:val="002F494F"/>
    <w:rsid w:val="002F5AC8"/>
    <w:rsid w:val="003053AB"/>
    <w:rsid w:val="003311B2"/>
    <w:rsid w:val="003540AE"/>
    <w:rsid w:val="00387933"/>
    <w:rsid w:val="003C3F77"/>
    <w:rsid w:val="003E7DD6"/>
    <w:rsid w:val="00446103"/>
    <w:rsid w:val="00456179"/>
    <w:rsid w:val="00457424"/>
    <w:rsid w:val="00480CBF"/>
    <w:rsid w:val="004E6BFD"/>
    <w:rsid w:val="00514BE0"/>
    <w:rsid w:val="00534AD9"/>
    <w:rsid w:val="00540F54"/>
    <w:rsid w:val="00542AE2"/>
    <w:rsid w:val="00557279"/>
    <w:rsid w:val="005671C0"/>
    <w:rsid w:val="005A3541"/>
    <w:rsid w:val="005A4652"/>
    <w:rsid w:val="005C4BFD"/>
    <w:rsid w:val="005D6659"/>
    <w:rsid w:val="00611DDD"/>
    <w:rsid w:val="00637318"/>
    <w:rsid w:val="006574B0"/>
    <w:rsid w:val="00680DF3"/>
    <w:rsid w:val="006D4271"/>
    <w:rsid w:val="007276D7"/>
    <w:rsid w:val="007415CD"/>
    <w:rsid w:val="007528D7"/>
    <w:rsid w:val="0076191B"/>
    <w:rsid w:val="00785E33"/>
    <w:rsid w:val="00786177"/>
    <w:rsid w:val="007B648D"/>
    <w:rsid w:val="00814254"/>
    <w:rsid w:val="00821E9B"/>
    <w:rsid w:val="00831E3E"/>
    <w:rsid w:val="00877A0C"/>
    <w:rsid w:val="008C0AD7"/>
    <w:rsid w:val="008D2B88"/>
    <w:rsid w:val="008E7DFA"/>
    <w:rsid w:val="009205E4"/>
    <w:rsid w:val="00974685"/>
    <w:rsid w:val="009C1005"/>
    <w:rsid w:val="00A015EF"/>
    <w:rsid w:val="00A37D89"/>
    <w:rsid w:val="00A40287"/>
    <w:rsid w:val="00A74A0B"/>
    <w:rsid w:val="00B1791B"/>
    <w:rsid w:val="00B32115"/>
    <w:rsid w:val="00B32CAA"/>
    <w:rsid w:val="00B71401"/>
    <w:rsid w:val="00B75A9E"/>
    <w:rsid w:val="00B804E4"/>
    <w:rsid w:val="00B82C18"/>
    <w:rsid w:val="00B97B35"/>
    <w:rsid w:val="00BB662D"/>
    <w:rsid w:val="00C3244C"/>
    <w:rsid w:val="00C73778"/>
    <w:rsid w:val="00CB2C49"/>
    <w:rsid w:val="00CD3494"/>
    <w:rsid w:val="00D16651"/>
    <w:rsid w:val="00D70F8F"/>
    <w:rsid w:val="00D771DB"/>
    <w:rsid w:val="00DB6E57"/>
    <w:rsid w:val="00DB7FF4"/>
    <w:rsid w:val="00DC3E9F"/>
    <w:rsid w:val="00E0516D"/>
    <w:rsid w:val="00E16C6F"/>
    <w:rsid w:val="00E659EE"/>
    <w:rsid w:val="00E80B9B"/>
    <w:rsid w:val="00E81695"/>
    <w:rsid w:val="00EC686D"/>
    <w:rsid w:val="00F273C7"/>
    <w:rsid w:val="00F55166"/>
    <w:rsid w:val="00FA1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0A93"/>
  <w15:chartTrackingRefBased/>
  <w15:docId w15:val="{3431990F-0336-BB4A-BDD1-CE4C22FF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651"/>
    <w:pPr>
      <w:tabs>
        <w:tab w:val="center" w:pos="4513"/>
        <w:tab w:val="right" w:pos="9026"/>
      </w:tabs>
    </w:pPr>
  </w:style>
  <w:style w:type="character" w:customStyle="1" w:styleId="HeaderChar">
    <w:name w:val="Header Char"/>
    <w:basedOn w:val="DefaultParagraphFont"/>
    <w:link w:val="Header"/>
    <w:uiPriority w:val="99"/>
    <w:rsid w:val="00D16651"/>
  </w:style>
  <w:style w:type="paragraph" w:styleId="Footer">
    <w:name w:val="footer"/>
    <w:basedOn w:val="Normal"/>
    <w:link w:val="FooterChar"/>
    <w:uiPriority w:val="99"/>
    <w:unhideWhenUsed/>
    <w:rsid w:val="00D16651"/>
    <w:pPr>
      <w:tabs>
        <w:tab w:val="center" w:pos="4513"/>
        <w:tab w:val="right" w:pos="9026"/>
      </w:tabs>
    </w:pPr>
  </w:style>
  <w:style w:type="character" w:customStyle="1" w:styleId="FooterChar">
    <w:name w:val="Footer Char"/>
    <w:basedOn w:val="DefaultParagraphFont"/>
    <w:link w:val="Footer"/>
    <w:uiPriority w:val="99"/>
    <w:rsid w:val="00D16651"/>
  </w:style>
  <w:style w:type="character" w:styleId="Hyperlink">
    <w:name w:val="Hyperlink"/>
    <w:basedOn w:val="DefaultParagraphFont"/>
    <w:uiPriority w:val="99"/>
    <w:unhideWhenUsed/>
    <w:rsid w:val="00DB6E57"/>
    <w:rPr>
      <w:color w:val="0563C1" w:themeColor="hyperlink"/>
      <w:u w:val="single"/>
    </w:rPr>
  </w:style>
  <w:style w:type="character" w:styleId="UnresolvedMention">
    <w:name w:val="Unresolved Mention"/>
    <w:basedOn w:val="DefaultParagraphFont"/>
    <w:uiPriority w:val="99"/>
    <w:semiHidden/>
    <w:unhideWhenUsed/>
    <w:rsid w:val="00DB6E57"/>
    <w:rPr>
      <w:color w:val="605E5C"/>
      <w:shd w:val="clear" w:color="auto" w:fill="E1DFDD"/>
    </w:rPr>
  </w:style>
  <w:style w:type="paragraph" w:styleId="ListParagraph">
    <w:name w:val="List Paragraph"/>
    <w:basedOn w:val="Normal"/>
    <w:uiPriority w:val="34"/>
    <w:qFormat/>
    <w:rsid w:val="00A015EF"/>
    <w:pPr>
      <w:ind w:left="720"/>
      <w:contextualSpacing/>
    </w:pPr>
  </w:style>
  <w:style w:type="character" w:styleId="FollowedHyperlink">
    <w:name w:val="FollowedHyperlink"/>
    <w:basedOn w:val="DefaultParagraphFont"/>
    <w:uiPriority w:val="99"/>
    <w:semiHidden/>
    <w:unhideWhenUsed/>
    <w:rsid w:val="002E0E48"/>
    <w:rPr>
      <w:color w:val="954F72" w:themeColor="followedHyperlink"/>
      <w:u w:val="single"/>
    </w:rPr>
  </w:style>
  <w:style w:type="paragraph" w:styleId="FootnoteText">
    <w:name w:val="footnote text"/>
    <w:basedOn w:val="Normal"/>
    <w:link w:val="FootnoteTextChar"/>
    <w:uiPriority w:val="99"/>
    <w:semiHidden/>
    <w:unhideWhenUsed/>
    <w:rsid w:val="00B1791B"/>
    <w:rPr>
      <w:sz w:val="20"/>
      <w:szCs w:val="20"/>
    </w:rPr>
  </w:style>
  <w:style w:type="character" w:customStyle="1" w:styleId="FootnoteTextChar">
    <w:name w:val="Footnote Text Char"/>
    <w:basedOn w:val="DefaultParagraphFont"/>
    <w:link w:val="FootnoteText"/>
    <w:uiPriority w:val="99"/>
    <w:semiHidden/>
    <w:rsid w:val="00B1791B"/>
    <w:rPr>
      <w:sz w:val="20"/>
      <w:szCs w:val="20"/>
    </w:rPr>
  </w:style>
  <w:style w:type="character" w:styleId="FootnoteReference">
    <w:name w:val="footnote reference"/>
    <w:basedOn w:val="DefaultParagraphFont"/>
    <w:uiPriority w:val="99"/>
    <w:semiHidden/>
    <w:unhideWhenUsed/>
    <w:rsid w:val="00B1791B"/>
    <w:rPr>
      <w:vertAlign w:val="superscript"/>
    </w:rPr>
  </w:style>
  <w:style w:type="paragraph" w:styleId="Revision">
    <w:name w:val="Revision"/>
    <w:hidden/>
    <w:uiPriority w:val="99"/>
    <w:semiHidden/>
    <w:rsid w:val="0068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0235">
      <w:bodyDiv w:val="1"/>
      <w:marLeft w:val="0"/>
      <w:marRight w:val="0"/>
      <w:marTop w:val="0"/>
      <w:marBottom w:val="0"/>
      <w:divBdr>
        <w:top w:val="none" w:sz="0" w:space="0" w:color="auto"/>
        <w:left w:val="none" w:sz="0" w:space="0" w:color="auto"/>
        <w:bottom w:val="none" w:sz="0" w:space="0" w:color="auto"/>
        <w:right w:val="none" w:sz="0" w:space="0" w:color="auto"/>
      </w:divBdr>
    </w:div>
    <w:div w:id="443965536">
      <w:bodyDiv w:val="1"/>
      <w:marLeft w:val="0"/>
      <w:marRight w:val="0"/>
      <w:marTop w:val="0"/>
      <w:marBottom w:val="0"/>
      <w:divBdr>
        <w:top w:val="none" w:sz="0" w:space="0" w:color="auto"/>
        <w:left w:val="none" w:sz="0" w:space="0" w:color="auto"/>
        <w:bottom w:val="none" w:sz="0" w:space="0" w:color="auto"/>
        <w:right w:val="none" w:sz="0" w:space="0" w:color="auto"/>
      </w:divBdr>
    </w:div>
    <w:div w:id="456727965">
      <w:bodyDiv w:val="1"/>
      <w:marLeft w:val="0"/>
      <w:marRight w:val="0"/>
      <w:marTop w:val="0"/>
      <w:marBottom w:val="0"/>
      <w:divBdr>
        <w:top w:val="none" w:sz="0" w:space="0" w:color="auto"/>
        <w:left w:val="none" w:sz="0" w:space="0" w:color="auto"/>
        <w:bottom w:val="none" w:sz="0" w:space="0" w:color="auto"/>
        <w:right w:val="none" w:sz="0" w:space="0" w:color="auto"/>
      </w:divBdr>
    </w:div>
    <w:div w:id="473908314">
      <w:bodyDiv w:val="1"/>
      <w:marLeft w:val="0"/>
      <w:marRight w:val="0"/>
      <w:marTop w:val="0"/>
      <w:marBottom w:val="0"/>
      <w:divBdr>
        <w:top w:val="none" w:sz="0" w:space="0" w:color="auto"/>
        <w:left w:val="none" w:sz="0" w:space="0" w:color="auto"/>
        <w:bottom w:val="none" w:sz="0" w:space="0" w:color="auto"/>
        <w:right w:val="none" w:sz="0" w:space="0" w:color="auto"/>
      </w:divBdr>
    </w:div>
    <w:div w:id="638074971">
      <w:bodyDiv w:val="1"/>
      <w:marLeft w:val="0"/>
      <w:marRight w:val="0"/>
      <w:marTop w:val="0"/>
      <w:marBottom w:val="0"/>
      <w:divBdr>
        <w:top w:val="none" w:sz="0" w:space="0" w:color="auto"/>
        <w:left w:val="none" w:sz="0" w:space="0" w:color="auto"/>
        <w:bottom w:val="none" w:sz="0" w:space="0" w:color="auto"/>
        <w:right w:val="none" w:sz="0" w:space="0" w:color="auto"/>
      </w:divBdr>
      <w:divsChild>
        <w:div w:id="2086027533">
          <w:marLeft w:val="0"/>
          <w:marRight w:val="0"/>
          <w:marTop w:val="0"/>
          <w:marBottom w:val="0"/>
          <w:divBdr>
            <w:top w:val="none" w:sz="0" w:space="0" w:color="auto"/>
            <w:left w:val="none" w:sz="0" w:space="0" w:color="auto"/>
            <w:bottom w:val="none" w:sz="0" w:space="0" w:color="auto"/>
            <w:right w:val="none" w:sz="0" w:space="0" w:color="auto"/>
          </w:divBdr>
          <w:divsChild>
            <w:div w:id="2082171157">
              <w:marLeft w:val="0"/>
              <w:marRight w:val="0"/>
              <w:marTop w:val="0"/>
              <w:marBottom w:val="0"/>
              <w:divBdr>
                <w:top w:val="none" w:sz="0" w:space="0" w:color="auto"/>
                <w:left w:val="none" w:sz="0" w:space="0" w:color="auto"/>
                <w:bottom w:val="none" w:sz="0" w:space="0" w:color="auto"/>
                <w:right w:val="none" w:sz="0" w:space="0" w:color="auto"/>
              </w:divBdr>
              <w:divsChild>
                <w:div w:id="20423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3072">
      <w:bodyDiv w:val="1"/>
      <w:marLeft w:val="0"/>
      <w:marRight w:val="0"/>
      <w:marTop w:val="0"/>
      <w:marBottom w:val="0"/>
      <w:divBdr>
        <w:top w:val="none" w:sz="0" w:space="0" w:color="auto"/>
        <w:left w:val="none" w:sz="0" w:space="0" w:color="auto"/>
        <w:bottom w:val="none" w:sz="0" w:space="0" w:color="auto"/>
        <w:right w:val="none" w:sz="0" w:space="0" w:color="auto"/>
      </w:divBdr>
    </w:div>
    <w:div w:id="950207667">
      <w:bodyDiv w:val="1"/>
      <w:marLeft w:val="0"/>
      <w:marRight w:val="0"/>
      <w:marTop w:val="0"/>
      <w:marBottom w:val="0"/>
      <w:divBdr>
        <w:top w:val="none" w:sz="0" w:space="0" w:color="auto"/>
        <w:left w:val="none" w:sz="0" w:space="0" w:color="auto"/>
        <w:bottom w:val="none" w:sz="0" w:space="0" w:color="auto"/>
        <w:right w:val="none" w:sz="0" w:space="0" w:color="auto"/>
      </w:divBdr>
    </w:div>
    <w:div w:id="1747919506">
      <w:bodyDiv w:val="1"/>
      <w:marLeft w:val="0"/>
      <w:marRight w:val="0"/>
      <w:marTop w:val="0"/>
      <w:marBottom w:val="0"/>
      <w:divBdr>
        <w:top w:val="none" w:sz="0" w:space="0" w:color="auto"/>
        <w:left w:val="none" w:sz="0" w:space="0" w:color="auto"/>
        <w:bottom w:val="none" w:sz="0" w:space="0" w:color="auto"/>
        <w:right w:val="none" w:sz="0" w:space="0" w:color="auto"/>
      </w:divBdr>
      <w:divsChild>
        <w:div w:id="444231000">
          <w:marLeft w:val="0"/>
          <w:marRight w:val="0"/>
          <w:marTop w:val="0"/>
          <w:marBottom w:val="0"/>
          <w:divBdr>
            <w:top w:val="none" w:sz="0" w:space="0" w:color="auto"/>
            <w:left w:val="none" w:sz="0" w:space="0" w:color="auto"/>
            <w:bottom w:val="none" w:sz="0" w:space="0" w:color="auto"/>
            <w:right w:val="none" w:sz="0" w:space="0" w:color="auto"/>
          </w:divBdr>
          <w:divsChild>
            <w:div w:id="1499998101">
              <w:marLeft w:val="0"/>
              <w:marRight w:val="0"/>
              <w:marTop w:val="0"/>
              <w:marBottom w:val="0"/>
              <w:divBdr>
                <w:top w:val="none" w:sz="0" w:space="0" w:color="auto"/>
                <w:left w:val="none" w:sz="0" w:space="0" w:color="auto"/>
                <w:bottom w:val="none" w:sz="0" w:space="0" w:color="auto"/>
                <w:right w:val="none" w:sz="0" w:space="0" w:color="auto"/>
              </w:divBdr>
              <w:divsChild>
                <w:div w:id="14673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16558">
      <w:bodyDiv w:val="1"/>
      <w:marLeft w:val="0"/>
      <w:marRight w:val="0"/>
      <w:marTop w:val="0"/>
      <w:marBottom w:val="0"/>
      <w:divBdr>
        <w:top w:val="none" w:sz="0" w:space="0" w:color="auto"/>
        <w:left w:val="none" w:sz="0" w:space="0" w:color="auto"/>
        <w:bottom w:val="none" w:sz="0" w:space="0" w:color="auto"/>
        <w:right w:val="none" w:sz="0" w:space="0" w:color="auto"/>
      </w:divBdr>
      <w:divsChild>
        <w:div w:id="643657886">
          <w:marLeft w:val="0"/>
          <w:marRight w:val="0"/>
          <w:marTop w:val="0"/>
          <w:marBottom w:val="0"/>
          <w:divBdr>
            <w:top w:val="none" w:sz="0" w:space="0" w:color="auto"/>
            <w:left w:val="none" w:sz="0" w:space="0" w:color="auto"/>
            <w:bottom w:val="none" w:sz="0" w:space="0" w:color="auto"/>
            <w:right w:val="none" w:sz="0" w:space="0" w:color="auto"/>
          </w:divBdr>
          <w:divsChild>
            <w:div w:id="1257057521">
              <w:marLeft w:val="0"/>
              <w:marRight w:val="0"/>
              <w:marTop w:val="0"/>
              <w:marBottom w:val="0"/>
              <w:divBdr>
                <w:top w:val="none" w:sz="0" w:space="0" w:color="auto"/>
                <w:left w:val="none" w:sz="0" w:space="0" w:color="auto"/>
                <w:bottom w:val="none" w:sz="0" w:space="0" w:color="auto"/>
                <w:right w:val="none" w:sz="0" w:space="0" w:color="auto"/>
              </w:divBdr>
              <w:divsChild>
                <w:div w:id="20362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ilii.org/ew/cases/EWFC/OJ/2024/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Mahnoor Javed</dc:creator>
  <cp:keywords/>
  <dc:description/>
  <cp:lastModifiedBy>Jen Stear</cp:lastModifiedBy>
  <cp:revision>2</cp:revision>
  <dcterms:created xsi:type="dcterms:W3CDTF">2024-01-31T10:41:00Z</dcterms:created>
  <dcterms:modified xsi:type="dcterms:W3CDTF">2024-01-31T10:41:00Z</dcterms:modified>
</cp:coreProperties>
</file>